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22657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22657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22657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2657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color w:val="00B0F0"/>
          <w:sz w:val="16"/>
          <w:szCs w:val="16"/>
          <w:lang w:val="uk-UA" w:eastAsia="ru-RU"/>
        </w:rPr>
      </w:pPr>
    </w:p>
    <w:p w:rsidR="008E6CD6" w:rsidRPr="00E0251E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:rsidR="008E6CD6" w:rsidRPr="00442FBA" w:rsidRDefault="008E6CD6" w:rsidP="008E6CD6">
      <w:pPr>
        <w:pStyle w:val="1"/>
        <w:ind w:firstLine="0"/>
        <w:jc w:val="both"/>
        <w:rPr>
          <w:b/>
          <w:szCs w:val="28"/>
        </w:rPr>
      </w:pPr>
      <w:r>
        <w:rPr>
          <w:szCs w:val="28"/>
        </w:rPr>
        <w:t xml:space="preserve">Від </w:t>
      </w:r>
      <w:r w:rsidR="002547EE">
        <w:rPr>
          <w:szCs w:val="28"/>
        </w:rPr>
        <w:t>24.05.2023.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b/>
          <w:szCs w:val="28"/>
        </w:rPr>
        <w:t xml:space="preserve">№ </w:t>
      </w:r>
      <w:r w:rsidR="002547EE">
        <w:rPr>
          <w:b/>
          <w:szCs w:val="28"/>
        </w:rPr>
        <w:t>144</w:t>
      </w:r>
    </w:p>
    <w:p w:rsidR="008E6CD6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412B87" w:rsidRDefault="00412B87" w:rsidP="003954E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Style w:val="4"/>
        <w:tblpPr w:leftFromText="180" w:rightFromText="180" w:vertAnchor="text" w:horzAnchor="margin" w:tblpYSpec="outside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A0898" w:rsidRPr="009D3DA6" w:rsidTr="002A0898">
        <w:trPr>
          <w:trHeight w:val="1288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4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623"/>
            </w:tblGrid>
            <w:tr w:rsidR="002A0898" w:rsidRPr="009D3DA6" w:rsidTr="0080496C">
              <w:trPr>
                <w:trHeight w:val="1610"/>
              </w:trPr>
              <w:tc>
                <w:tcPr>
                  <w:tcW w:w="96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0898" w:rsidRPr="009D3DA6" w:rsidRDefault="002A0898" w:rsidP="002547EE">
                  <w:pPr>
                    <w:framePr w:hSpace="180" w:wrap="around" w:vAnchor="text" w:hAnchor="margin" w:y="-20"/>
                    <w:rPr>
                      <w:lang w:val="uk-UA"/>
                    </w:rPr>
                  </w:pPr>
                  <w:bookmarkStart w:id="0" w:name="_GoBack"/>
                </w:p>
                <w:tbl>
                  <w:tblPr>
                    <w:tblStyle w:val="4"/>
                    <w:tblW w:w="0" w:type="auto"/>
                    <w:tblInd w:w="5" w:type="dxa"/>
                    <w:tblLook w:val="04A0" w:firstRow="1" w:lastRow="0" w:firstColumn="1" w:lastColumn="0" w:noHBand="0" w:noVBand="1"/>
                  </w:tblPr>
                  <w:tblGrid>
                    <w:gridCol w:w="9392"/>
                  </w:tblGrid>
                  <w:tr w:rsidR="002A0898" w:rsidRPr="009D3DA6" w:rsidTr="0080496C">
                    <w:trPr>
                      <w:trHeight w:val="1610"/>
                    </w:trPr>
                    <w:tc>
                      <w:tcPr>
                        <w:tcW w:w="93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A0898" w:rsidRPr="009D3DA6" w:rsidRDefault="002A0898" w:rsidP="002547EE">
                        <w:pPr>
                          <w:framePr w:hSpace="180" w:wrap="around" w:vAnchor="text" w:hAnchor="margin" w:y="-20"/>
                          <w:ind w:left="-113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9D3DA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  <w:t>Про безпеку відпочиваючих</w:t>
                        </w:r>
                      </w:p>
                      <w:p w:rsidR="002A0898" w:rsidRPr="009D3DA6" w:rsidRDefault="002A0898" w:rsidP="002547EE">
                        <w:pPr>
                          <w:framePr w:hSpace="180" w:wrap="around" w:vAnchor="text" w:hAnchor="margin" w:y="-20"/>
                          <w:ind w:left="-113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9D3DA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на водних об'єктах Долинської територіальної </w:t>
                        </w:r>
                      </w:p>
                      <w:p w:rsidR="002A0898" w:rsidRPr="009D3DA6" w:rsidRDefault="002A0898" w:rsidP="002547EE">
                        <w:pPr>
                          <w:framePr w:hSpace="180" w:wrap="around" w:vAnchor="text" w:hAnchor="margin" w:y="-20"/>
                          <w:ind w:left="-113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9D3DA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громади в період літнього купального </w:t>
                        </w:r>
                      </w:p>
                      <w:p w:rsidR="002A0898" w:rsidRPr="009D3DA6" w:rsidRDefault="002A0898" w:rsidP="002547EE">
                        <w:pPr>
                          <w:framePr w:hSpace="180" w:wrap="around" w:vAnchor="text" w:hAnchor="margin" w:y="-20"/>
                          <w:ind w:left="-113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9D3DA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  <w:t>сезону 202</w:t>
                        </w:r>
                        <w:r w:rsidR="001663BE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  <w:t>3</w:t>
                        </w:r>
                        <w:r w:rsidRPr="009D3DA6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  <w:lang w:val="uk-UA"/>
                          </w:rPr>
                          <w:t xml:space="preserve"> року </w:t>
                        </w:r>
                      </w:p>
                    </w:tc>
                  </w:tr>
                  <w:bookmarkEnd w:id="0"/>
                </w:tbl>
                <w:p w:rsidR="002A0898" w:rsidRPr="009D3DA6" w:rsidRDefault="002A0898" w:rsidP="002547EE">
                  <w:pPr>
                    <w:framePr w:hSpace="180" w:wrap="around" w:vAnchor="text" w:hAnchor="margin" w:y="-20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2A0898" w:rsidRPr="009D3DA6" w:rsidRDefault="002A0898" w:rsidP="002A0898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D3DA6" w:rsidRPr="009D3DA6" w:rsidRDefault="009D3DA6" w:rsidP="002A089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метою запобігання травмуванню та недопущення загибелі людей на водних об'єктах Долинської територіальної громади в період літнього купального сезону 202</w:t>
      </w:r>
      <w:r w:rsidR="0016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року, відповідно до розпорядження Президента України від 14.07.2001 № 190/2001-рп "Про невідкладні заходи щодо запобігання загибелі людей на водних об’єктах", постанови Кабінету Міністрів України від 06.03.2002 № 264 "Про затвердження Порядку обліку місць масового відпочинку населення на водних об'єктах</w:t>
      </w:r>
      <w:r w:rsidR="00AB65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(із змінами)</w:t>
      </w: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", </w:t>
      </w:r>
      <w:r w:rsidR="00AB65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</w:t>
      </w: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Правил охорони життя людей на водних об’єктах України, затверджених наказом Міністерства внутрішніх справ України від 10.04.2017 року № 301 «Про затвердження правил охорони життя людей на водних об’єктах України»</w:t>
      </w:r>
      <w:r w:rsidR="0016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(із змінами)</w:t>
      </w: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розпорядження о</w:t>
      </w:r>
      <w:r w:rsidR="00AB65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бласної державної адміністрації                                      від </w:t>
      </w: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16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.05.202</w:t>
      </w:r>
      <w:r w:rsidR="0016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 17</w:t>
      </w:r>
      <w:r w:rsidR="0016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AB65A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"Про безпеку відпочиваючих на водних об’єктах Івано-Франківської області в період літнього купального сезону 202</w:t>
      </w:r>
      <w:r w:rsidR="0016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року",</w:t>
      </w:r>
      <w:r w:rsidRPr="009D3DA6">
        <w:rPr>
          <w:rFonts w:ascii="Calibri" w:eastAsia="Times New Roman" w:hAnsi="Calibri" w:cs="Times New Roman"/>
          <w:lang w:val="uk-UA" w:eastAsia="uk-UA"/>
        </w:rPr>
        <w:t xml:space="preserve"> </w:t>
      </w: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Законом України "Про місцеве самоврядування в Україні":</w:t>
      </w:r>
    </w:p>
    <w:p w:rsidR="009D3DA6" w:rsidRPr="009D3DA6" w:rsidRDefault="009D3DA6" w:rsidP="009D3D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Затвердити план заходів щодо підготовки та забезпечення безпеки відпочиваючих на водних об’єктах Долинської територіальної громади у літній період 202</w:t>
      </w:r>
      <w:r w:rsidR="000F660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(додається).</w:t>
      </w:r>
    </w:p>
    <w:p w:rsidR="009D3DA6" w:rsidRPr="009D3DA6" w:rsidRDefault="009D3DA6" w:rsidP="009D3DA6">
      <w:pPr>
        <w:ind w:right="168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</w:pP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Рекомендувати старостам </w:t>
      </w:r>
      <w:proofErr w:type="spellStart"/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старостинських</w:t>
      </w:r>
      <w:proofErr w:type="spellEnd"/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округів, керівникам організацій та підприємст</w:t>
      </w:r>
      <w:r w:rsidR="001663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в, які розташовані на території </w:t>
      </w: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територіальної громади забезпечити виконання заходів згідно плану.</w:t>
      </w:r>
      <w:r w:rsidRPr="009D3DA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uk-UA"/>
        </w:rPr>
        <w:t xml:space="preserve"> </w:t>
      </w:r>
    </w:p>
    <w:p w:rsidR="009D3DA6" w:rsidRPr="009D3DA6" w:rsidRDefault="009D3DA6" w:rsidP="009D3DA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Координацію роботи щодо виконання розпорядження покласти на відділ з питань надзвичайних ситуацій, цивільного захисту, мобілізаційної роботи та реінтеграції ветеранів міської ради (Л. </w:t>
      </w:r>
      <w:proofErr w:type="spellStart"/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Кіщук</w:t>
      </w:r>
      <w:proofErr w:type="spellEnd"/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).                                                                                             </w:t>
      </w:r>
    </w:p>
    <w:p w:rsidR="009D3DA6" w:rsidRPr="009D3DA6" w:rsidRDefault="009D3DA6" w:rsidP="009D3DA6">
      <w:pPr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4.</w:t>
      </w:r>
      <w:r w:rsidRPr="009D3DA6">
        <w:rPr>
          <w:rFonts w:ascii="Calibri" w:eastAsia="Times New Roman" w:hAnsi="Calibri" w:cs="Times New Roman"/>
          <w:lang w:val="uk-UA" w:eastAsia="uk-UA"/>
        </w:rPr>
        <w:t xml:space="preserve"> </w:t>
      </w: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цього розпорядження покласти на заступника міського голови Віктора </w:t>
      </w:r>
      <w:proofErr w:type="spellStart"/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Громиша</w:t>
      </w:r>
      <w:proofErr w:type="spellEnd"/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A0898" w:rsidRDefault="002A0898" w:rsidP="009D3DA6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D3DA6" w:rsidRPr="009D3DA6" w:rsidRDefault="009D3DA6" w:rsidP="002547E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D3D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Міський голова                                                                              Іван </w:t>
      </w:r>
      <w:r w:rsidR="002A08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ДИРІВ</w:t>
      </w:r>
    </w:p>
    <w:p w:rsidR="009D3DA6" w:rsidRPr="009D3DA6" w:rsidRDefault="009D3DA6" w:rsidP="009D3DA6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sectPr w:rsidR="009D3DA6" w:rsidRPr="009D3DA6" w:rsidSect="00DF1C8E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9D3DA6" w:rsidRPr="009D3DA6" w:rsidRDefault="009D3DA6" w:rsidP="009D3DA6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9D3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lastRenderedPageBreak/>
        <w:t>ЗАТВЕРДЖЕНО</w:t>
      </w:r>
    </w:p>
    <w:p w:rsidR="009D3DA6" w:rsidRPr="009D3DA6" w:rsidRDefault="009D3DA6" w:rsidP="009D3DA6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D3D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розпорядження міського голови</w:t>
      </w:r>
    </w:p>
    <w:p w:rsidR="009D3DA6" w:rsidRPr="009D3DA6" w:rsidRDefault="009D3DA6" w:rsidP="009D3DA6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9D3D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№</w:t>
      </w:r>
      <w:r w:rsidR="002547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144</w:t>
      </w:r>
      <w:r w:rsidRPr="009D3D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від</w:t>
      </w:r>
      <w:r w:rsidR="002547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24</w:t>
      </w:r>
      <w:r w:rsidRPr="009D3D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.05.202</w:t>
      </w:r>
      <w:r w:rsidR="000F660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</w:t>
      </w:r>
      <w:r w:rsidRPr="009D3D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9D3DA6" w:rsidRPr="009D3DA6" w:rsidRDefault="009D3DA6" w:rsidP="009D3DA6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D3DA6" w:rsidRPr="009D3DA6" w:rsidRDefault="009D3DA6" w:rsidP="009D3DA6">
      <w:pPr>
        <w:tabs>
          <w:tab w:val="left" w:pos="3840"/>
          <w:tab w:val="center" w:pos="4819"/>
        </w:tabs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D3D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План заходів</w:t>
      </w:r>
    </w:p>
    <w:p w:rsidR="00013F25" w:rsidRDefault="009D3DA6" w:rsidP="009D3DA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D3DA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щодо підготовки  та забезпечення безпеки відпочиваючих на водних об’єктах Долинської територіальної громади </w:t>
      </w:r>
    </w:p>
    <w:p w:rsidR="009D3DA6" w:rsidRPr="009D3DA6" w:rsidRDefault="009D3DA6" w:rsidP="009D3DA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9D3D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літній період 202</w:t>
      </w:r>
      <w:r w:rsidR="00013F25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Pr="009D3DA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року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513"/>
        <w:gridCol w:w="4819"/>
        <w:gridCol w:w="2694"/>
      </w:tblGrid>
      <w:tr w:rsidR="009D3DA6" w:rsidRPr="009D3DA6" w:rsidTr="0026381D">
        <w:trPr>
          <w:trHeight w:val="565"/>
        </w:trPr>
        <w:tc>
          <w:tcPr>
            <w:tcW w:w="568" w:type="dxa"/>
            <w:vAlign w:val="center"/>
          </w:tcPr>
          <w:p w:rsidR="009D3DA6" w:rsidRPr="009D3DA6" w:rsidRDefault="009D3DA6" w:rsidP="009D3DA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vAlign w:val="center"/>
          </w:tcPr>
          <w:p w:rsidR="009D3DA6" w:rsidRPr="009D3DA6" w:rsidRDefault="009D3DA6" w:rsidP="009D3DA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D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4819" w:type="dxa"/>
            <w:vAlign w:val="center"/>
          </w:tcPr>
          <w:p w:rsidR="009D3DA6" w:rsidRPr="009D3DA6" w:rsidRDefault="009D3DA6" w:rsidP="009D3DA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D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Виконавці</w:t>
            </w:r>
            <w:proofErr w:type="spellEnd"/>
          </w:p>
        </w:tc>
        <w:tc>
          <w:tcPr>
            <w:tcW w:w="2694" w:type="dxa"/>
            <w:vAlign w:val="center"/>
          </w:tcPr>
          <w:p w:rsidR="009D3DA6" w:rsidRPr="009D3DA6" w:rsidRDefault="009D3DA6" w:rsidP="009D3DA6">
            <w:pPr>
              <w:spacing w:after="200" w:line="276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D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Термін</w:t>
            </w:r>
            <w:proofErr w:type="spellEnd"/>
            <w:r w:rsidRPr="009D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D3DA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виконання</w:t>
            </w:r>
            <w:proofErr w:type="spellEnd"/>
          </w:p>
        </w:tc>
      </w:tr>
      <w:tr w:rsidR="009D3DA6" w:rsidRPr="009D3DA6" w:rsidTr="0026381D">
        <w:trPr>
          <w:trHeight w:val="1200"/>
        </w:trPr>
        <w:tc>
          <w:tcPr>
            <w:tcW w:w="568" w:type="dxa"/>
            <w:tcBorders>
              <w:bottom w:val="single" w:sz="4" w:space="0" w:color="auto"/>
            </w:tcBorders>
          </w:tcPr>
          <w:p w:rsidR="009D3DA6" w:rsidRPr="009D3DA6" w:rsidRDefault="009D3DA6" w:rsidP="009D3D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DA6" w:rsidRPr="009D3DA6" w:rsidRDefault="009D3DA6" w:rsidP="009D3D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9D3DA6" w:rsidRPr="009D3DA6" w:rsidRDefault="009D3DA6" w:rsidP="009D3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D3DA6" w:rsidRPr="009D3DA6" w:rsidRDefault="009D3DA6" w:rsidP="009D3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D3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Уточнити інформацію про стихійні місця</w:t>
            </w:r>
          </w:p>
          <w:p w:rsidR="009D3DA6" w:rsidRPr="009D3DA6" w:rsidRDefault="009D3DA6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відпочинку на воді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9D3DA6" w:rsidRPr="009D3DA6" w:rsidRDefault="009D3DA6" w:rsidP="009D3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Відділ з питань надзвичайних ситуацій, цивільного захисту, мобілізаційної роботи та реінтеграції ветеранів міської ради, старости </w:t>
            </w:r>
            <w:proofErr w:type="spellStart"/>
            <w:r w:rsidRPr="009D3D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старостинських</w:t>
            </w:r>
            <w:proofErr w:type="spellEnd"/>
            <w:r w:rsidRPr="009D3D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округів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13F25" w:rsidRDefault="00013F25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D3DA6" w:rsidRPr="009D3DA6" w:rsidRDefault="009D3DA6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</w:p>
          <w:p w:rsidR="009D3DA6" w:rsidRPr="009D3DA6" w:rsidRDefault="00013F25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  <w:r w:rsidR="009D3DA6"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  <w:r w:rsidR="009D3DA6"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0F66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9D3DA6"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D3DA6" w:rsidRPr="009D3DA6" w:rsidRDefault="009D3DA6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року</w:t>
            </w:r>
          </w:p>
        </w:tc>
      </w:tr>
      <w:tr w:rsidR="009D3DA6" w:rsidRPr="009D3DA6" w:rsidTr="0026381D">
        <w:trPr>
          <w:trHeight w:val="661"/>
        </w:trPr>
        <w:tc>
          <w:tcPr>
            <w:tcW w:w="568" w:type="dxa"/>
            <w:tcBorders>
              <w:top w:val="single" w:sz="4" w:space="0" w:color="auto"/>
            </w:tcBorders>
          </w:tcPr>
          <w:p w:rsidR="009D3DA6" w:rsidRPr="009D3DA6" w:rsidRDefault="009D3DA6" w:rsidP="009D3D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DA6" w:rsidRPr="009D3DA6" w:rsidRDefault="009D3DA6" w:rsidP="009D3D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9A0D30" w:rsidRDefault="009D3DA6" w:rsidP="009D3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D3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Розглянути питання                                                                    "Про заходи щодо недопущення загибелі людей на водних об'єктах" на засі</w:t>
            </w:r>
            <w:r w:rsidR="009A0D3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данні комісії з </w:t>
            </w:r>
            <w:r w:rsidRPr="009D3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питань ТЕБ та НС </w:t>
            </w:r>
          </w:p>
          <w:p w:rsidR="009D3DA6" w:rsidRPr="009D3DA6" w:rsidRDefault="009D3DA6" w:rsidP="009D3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D3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міської ради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D3DA6" w:rsidRPr="009D3DA6" w:rsidRDefault="009D3DA6" w:rsidP="009D3DA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 з питань надзвичайних ситуацій, цивільного захисту, мобілізаційної роботи та реінтеграції ветеранів міської ради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D3DA6" w:rsidRPr="009D3DA6" w:rsidRDefault="009D3DA6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</w:p>
          <w:p w:rsidR="009D3DA6" w:rsidRPr="000F660B" w:rsidRDefault="00013F25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01</w:t>
            </w:r>
            <w:r w:rsidR="009D3DA6"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.06.202</w:t>
            </w:r>
            <w:r w:rsidR="000F66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  <w:p w:rsidR="009D3DA6" w:rsidRPr="009D3DA6" w:rsidRDefault="009D3DA6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9D3DA6" w:rsidRPr="009D3DA6" w:rsidTr="0026381D">
        <w:tc>
          <w:tcPr>
            <w:tcW w:w="568" w:type="dxa"/>
          </w:tcPr>
          <w:p w:rsidR="009D3DA6" w:rsidRPr="009D3DA6" w:rsidRDefault="009D3DA6" w:rsidP="009D3D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DA6" w:rsidRPr="009D3DA6" w:rsidRDefault="009D3DA6" w:rsidP="009D3D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9D3DA6" w:rsidRPr="009D3DA6" w:rsidRDefault="009D3DA6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Забезпечити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умов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безпеки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відпочинку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водних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об’єктах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встановити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попереджувальні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знаки на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водоймах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заборону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купання</w:t>
            </w:r>
            <w:proofErr w:type="spellEnd"/>
          </w:p>
        </w:tc>
        <w:tc>
          <w:tcPr>
            <w:tcW w:w="4819" w:type="dxa"/>
          </w:tcPr>
          <w:p w:rsidR="0012309A" w:rsidRDefault="009D3DA6" w:rsidP="001230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КП "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Комунгосп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", </w:t>
            </w:r>
          </w:p>
          <w:p w:rsidR="009D3DA6" w:rsidRPr="009D3DA6" w:rsidRDefault="009D3DA6" w:rsidP="0012309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власники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орендарі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водойм</w:t>
            </w:r>
            <w:proofErr w:type="spellEnd"/>
          </w:p>
        </w:tc>
        <w:tc>
          <w:tcPr>
            <w:tcW w:w="2694" w:type="dxa"/>
          </w:tcPr>
          <w:p w:rsidR="009D3DA6" w:rsidRPr="009D3DA6" w:rsidRDefault="009D3DA6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</w:p>
          <w:p w:rsidR="009D3DA6" w:rsidRPr="009D3DA6" w:rsidRDefault="00013F25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01</w:t>
            </w:r>
            <w:r w:rsidR="009D3DA6"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.06.202</w:t>
            </w:r>
            <w:r w:rsidR="000F660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  <w:r w:rsidR="009D3DA6"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D3DA6" w:rsidRPr="009D3DA6" w:rsidRDefault="009D3DA6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року</w:t>
            </w:r>
          </w:p>
        </w:tc>
      </w:tr>
      <w:tr w:rsidR="009D3DA6" w:rsidRPr="009D3DA6" w:rsidTr="0026381D">
        <w:trPr>
          <w:trHeight w:val="1370"/>
        </w:trPr>
        <w:tc>
          <w:tcPr>
            <w:tcW w:w="568" w:type="dxa"/>
          </w:tcPr>
          <w:p w:rsidR="009D3DA6" w:rsidRPr="009D3DA6" w:rsidRDefault="009D3DA6" w:rsidP="009D3DA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DA6" w:rsidRPr="009D3DA6" w:rsidRDefault="009D3DA6" w:rsidP="009D3D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9D3DA6" w:rsidRPr="009D3DA6" w:rsidRDefault="009D3DA6" w:rsidP="009D3DA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9D3DA6" w:rsidRPr="009D3DA6" w:rsidRDefault="009D3DA6" w:rsidP="00E603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9D3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Вести облік та аналіз причин нещасних випадків на воді, інформувати міського голову та управління з </w:t>
            </w:r>
          </w:p>
          <w:p w:rsidR="009D3DA6" w:rsidRPr="009D3DA6" w:rsidRDefault="009D3DA6" w:rsidP="00E603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питань цивільного захисту обласної державної адміністрації</w:t>
            </w:r>
          </w:p>
        </w:tc>
        <w:tc>
          <w:tcPr>
            <w:tcW w:w="4819" w:type="dxa"/>
          </w:tcPr>
          <w:p w:rsidR="009D3DA6" w:rsidRPr="009D3DA6" w:rsidRDefault="009D3DA6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D3DA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Відділ з питань надзвичайних ситуацій, цивільного захисту, мобілізаційної роботи та реінтеграції ветеранів міської ради</w:t>
            </w:r>
          </w:p>
        </w:tc>
        <w:tc>
          <w:tcPr>
            <w:tcW w:w="2694" w:type="dxa"/>
          </w:tcPr>
          <w:p w:rsidR="009D3DA6" w:rsidRPr="009D3DA6" w:rsidRDefault="009D3DA6" w:rsidP="009D3DA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9D3DA6" w:rsidRPr="009D3DA6" w:rsidRDefault="009D3DA6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впродовж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D3DA6" w:rsidRPr="009D3DA6" w:rsidRDefault="009D3DA6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купального</w:t>
            </w:r>
            <w:proofErr w:type="gram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сезону</w:t>
            </w:r>
          </w:p>
        </w:tc>
      </w:tr>
      <w:tr w:rsidR="009D3DA6" w:rsidRPr="009D3DA6" w:rsidTr="0026381D">
        <w:tc>
          <w:tcPr>
            <w:tcW w:w="568" w:type="dxa"/>
          </w:tcPr>
          <w:p w:rsidR="009D3DA6" w:rsidRPr="009D3DA6" w:rsidRDefault="009D3DA6" w:rsidP="009D3DA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DA6" w:rsidRPr="009D3DA6" w:rsidRDefault="009D3DA6" w:rsidP="009D3DA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9D3DA6" w:rsidRPr="009D3DA6" w:rsidRDefault="009D3DA6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Через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засоби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масової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інформації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доводити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правила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поведінки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водних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об’єктах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факти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 причини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загибелі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людей </w:t>
            </w:r>
            <w:proofErr w:type="gram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воді</w:t>
            </w:r>
            <w:proofErr w:type="spellEnd"/>
          </w:p>
        </w:tc>
        <w:tc>
          <w:tcPr>
            <w:tcW w:w="4819" w:type="dxa"/>
          </w:tcPr>
          <w:p w:rsidR="009D3DA6" w:rsidRPr="009D3DA6" w:rsidRDefault="009D3DA6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3DA6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  <w:lang w:val="uk-UA"/>
              </w:rPr>
              <w:t>Відділ інформаційної політики та зв’язків з громадськістю</w:t>
            </w:r>
            <w:r w:rsidRPr="009D3DA6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9D3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</w:t>
            </w:r>
            <w:r w:rsidRPr="009D3DA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 ДПРЧ-10 (м. Долина) ДПРЗ-3 ГУ ДСНС України в області</w:t>
            </w:r>
          </w:p>
        </w:tc>
        <w:tc>
          <w:tcPr>
            <w:tcW w:w="2694" w:type="dxa"/>
          </w:tcPr>
          <w:p w:rsidR="009D3DA6" w:rsidRPr="009D3DA6" w:rsidRDefault="009D3DA6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3DA6" w:rsidRPr="009D3DA6" w:rsidRDefault="009D3DA6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впродовж</w:t>
            </w:r>
            <w:proofErr w:type="spell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D3DA6" w:rsidRPr="009D3DA6" w:rsidRDefault="009D3DA6" w:rsidP="009D3DA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>купального</w:t>
            </w:r>
            <w:proofErr w:type="gramEnd"/>
            <w:r w:rsidRPr="009D3D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сезону</w:t>
            </w:r>
          </w:p>
        </w:tc>
      </w:tr>
    </w:tbl>
    <w:p w:rsidR="009D3DA6" w:rsidRPr="009D3DA6" w:rsidRDefault="009D3DA6" w:rsidP="002547EE">
      <w:pPr>
        <w:spacing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  <w:sectPr w:rsidR="009D3DA6" w:rsidRPr="009D3DA6" w:rsidSect="001236A3">
          <w:pgSz w:w="16838" w:h="11906" w:orient="landscape"/>
          <w:pgMar w:top="1701" w:right="851" w:bottom="567" w:left="851" w:header="709" w:footer="709" w:gutter="0"/>
          <w:cols w:space="708"/>
          <w:docGrid w:linePitch="360"/>
        </w:sectPr>
      </w:pPr>
    </w:p>
    <w:p w:rsidR="000B34CA" w:rsidRPr="000B34CA" w:rsidRDefault="000B34CA" w:rsidP="002547EE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0B34CA" w:rsidRPr="000B34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EA1" w:rsidRDefault="00844EA1" w:rsidP="00A54A81">
      <w:r>
        <w:separator/>
      </w:r>
    </w:p>
  </w:endnote>
  <w:endnote w:type="continuationSeparator" w:id="0">
    <w:p w:rsidR="00844EA1" w:rsidRDefault="00844EA1" w:rsidP="00A5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EA1" w:rsidRDefault="00844EA1" w:rsidP="00A54A81">
      <w:r>
        <w:separator/>
      </w:r>
    </w:p>
  </w:footnote>
  <w:footnote w:type="continuationSeparator" w:id="0">
    <w:p w:rsidR="00844EA1" w:rsidRDefault="00844EA1" w:rsidP="00A54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B9C"/>
    <w:multiLevelType w:val="hybridMultilevel"/>
    <w:tmpl w:val="7270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67DD7"/>
    <w:multiLevelType w:val="hybridMultilevel"/>
    <w:tmpl w:val="49780EAC"/>
    <w:lvl w:ilvl="0" w:tplc="944A84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2D2B14"/>
    <w:multiLevelType w:val="hybridMultilevel"/>
    <w:tmpl w:val="162C01BA"/>
    <w:lvl w:ilvl="0" w:tplc="771AB2EE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04834"/>
    <w:rsid w:val="000131BC"/>
    <w:rsid w:val="00013F25"/>
    <w:rsid w:val="00015376"/>
    <w:rsid w:val="00054D26"/>
    <w:rsid w:val="0006695E"/>
    <w:rsid w:val="0007428F"/>
    <w:rsid w:val="00083114"/>
    <w:rsid w:val="000869DB"/>
    <w:rsid w:val="000940AC"/>
    <w:rsid w:val="000945B4"/>
    <w:rsid w:val="000A2005"/>
    <w:rsid w:val="000B34CA"/>
    <w:rsid w:val="000B58E2"/>
    <w:rsid w:val="000C4CBE"/>
    <w:rsid w:val="000D398B"/>
    <w:rsid w:val="000F25EE"/>
    <w:rsid w:val="000F660B"/>
    <w:rsid w:val="0012309A"/>
    <w:rsid w:val="00126AA6"/>
    <w:rsid w:val="001472C4"/>
    <w:rsid w:val="001528A2"/>
    <w:rsid w:val="001543FC"/>
    <w:rsid w:val="00160A99"/>
    <w:rsid w:val="001663BE"/>
    <w:rsid w:val="001724F3"/>
    <w:rsid w:val="00180B29"/>
    <w:rsid w:val="001926CC"/>
    <w:rsid w:val="00192CB3"/>
    <w:rsid w:val="001C18FA"/>
    <w:rsid w:val="001E5E20"/>
    <w:rsid w:val="001E6544"/>
    <w:rsid w:val="001F57FA"/>
    <w:rsid w:val="00201D78"/>
    <w:rsid w:val="00206ABD"/>
    <w:rsid w:val="00210604"/>
    <w:rsid w:val="0021738A"/>
    <w:rsid w:val="00232C47"/>
    <w:rsid w:val="0023320A"/>
    <w:rsid w:val="002443D1"/>
    <w:rsid w:val="002525AE"/>
    <w:rsid w:val="00252F15"/>
    <w:rsid w:val="002547EE"/>
    <w:rsid w:val="00263654"/>
    <w:rsid w:val="00293DC4"/>
    <w:rsid w:val="002A0898"/>
    <w:rsid w:val="002A10C4"/>
    <w:rsid w:val="002A70BC"/>
    <w:rsid w:val="002D2702"/>
    <w:rsid w:val="002D4167"/>
    <w:rsid w:val="002F775F"/>
    <w:rsid w:val="00301E53"/>
    <w:rsid w:val="003517B0"/>
    <w:rsid w:val="0035394D"/>
    <w:rsid w:val="00377FFD"/>
    <w:rsid w:val="0038595A"/>
    <w:rsid w:val="003934A8"/>
    <w:rsid w:val="003954EA"/>
    <w:rsid w:val="003969F3"/>
    <w:rsid w:val="003A0F73"/>
    <w:rsid w:val="003F3017"/>
    <w:rsid w:val="00412B87"/>
    <w:rsid w:val="00423F90"/>
    <w:rsid w:val="0042684C"/>
    <w:rsid w:val="004458B5"/>
    <w:rsid w:val="0045160F"/>
    <w:rsid w:val="00480972"/>
    <w:rsid w:val="00496968"/>
    <w:rsid w:val="004C67B2"/>
    <w:rsid w:val="004D1AF2"/>
    <w:rsid w:val="004E613C"/>
    <w:rsid w:val="00523AA6"/>
    <w:rsid w:val="005415BA"/>
    <w:rsid w:val="00551F04"/>
    <w:rsid w:val="0055649B"/>
    <w:rsid w:val="005644EC"/>
    <w:rsid w:val="00572D91"/>
    <w:rsid w:val="00572F59"/>
    <w:rsid w:val="005778F8"/>
    <w:rsid w:val="005915AB"/>
    <w:rsid w:val="005A17D2"/>
    <w:rsid w:val="005A3B55"/>
    <w:rsid w:val="005C6E78"/>
    <w:rsid w:val="006171E2"/>
    <w:rsid w:val="00645B54"/>
    <w:rsid w:val="0065643A"/>
    <w:rsid w:val="006622BD"/>
    <w:rsid w:val="0067188F"/>
    <w:rsid w:val="00672632"/>
    <w:rsid w:val="00687FAF"/>
    <w:rsid w:val="006B0E02"/>
    <w:rsid w:val="006C32CF"/>
    <w:rsid w:val="00700A02"/>
    <w:rsid w:val="00716196"/>
    <w:rsid w:val="00732A36"/>
    <w:rsid w:val="00741B28"/>
    <w:rsid w:val="00753CD8"/>
    <w:rsid w:val="00754837"/>
    <w:rsid w:val="00767F56"/>
    <w:rsid w:val="00771A31"/>
    <w:rsid w:val="007815F1"/>
    <w:rsid w:val="0078349F"/>
    <w:rsid w:val="007C1F12"/>
    <w:rsid w:val="007C68A7"/>
    <w:rsid w:val="007D0351"/>
    <w:rsid w:val="007D290E"/>
    <w:rsid w:val="007E0179"/>
    <w:rsid w:val="00806922"/>
    <w:rsid w:val="00812777"/>
    <w:rsid w:val="00826D70"/>
    <w:rsid w:val="0083771A"/>
    <w:rsid w:val="00844EA1"/>
    <w:rsid w:val="00875335"/>
    <w:rsid w:val="008C45EE"/>
    <w:rsid w:val="008D7FFB"/>
    <w:rsid w:val="008E6CD6"/>
    <w:rsid w:val="008F1DD7"/>
    <w:rsid w:val="0090696D"/>
    <w:rsid w:val="009134A5"/>
    <w:rsid w:val="0095343E"/>
    <w:rsid w:val="00976C3A"/>
    <w:rsid w:val="009A0D30"/>
    <w:rsid w:val="009A3F8F"/>
    <w:rsid w:val="009C3A8D"/>
    <w:rsid w:val="009D3DA6"/>
    <w:rsid w:val="009D4211"/>
    <w:rsid w:val="009E52FB"/>
    <w:rsid w:val="009F0BA5"/>
    <w:rsid w:val="009F2E62"/>
    <w:rsid w:val="00A00A2F"/>
    <w:rsid w:val="00A0227C"/>
    <w:rsid w:val="00A07711"/>
    <w:rsid w:val="00A44D60"/>
    <w:rsid w:val="00A53BB7"/>
    <w:rsid w:val="00A54A81"/>
    <w:rsid w:val="00A842C7"/>
    <w:rsid w:val="00A96983"/>
    <w:rsid w:val="00AB65AB"/>
    <w:rsid w:val="00AB6785"/>
    <w:rsid w:val="00AE6547"/>
    <w:rsid w:val="00AF2E46"/>
    <w:rsid w:val="00B22B41"/>
    <w:rsid w:val="00B232C5"/>
    <w:rsid w:val="00B253AB"/>
    <w:rsid w:val="00B333C0"/>
    <w:rsid w:val="00B51F2A"/>
    <w:rsid w:val="00B83413"/>
    <w:rsid w:val="00B95524"/>
    <w:rsid w:val="00BA677D"/>
    <w:rsid w:val="00BB1A10"/>
    <w:rsid w:val="00BC5D05"/>
    <w:rsid w:val="00BD7473"/>
    <w:rsid w:val="00C05703"/>
    <w:rsid w:val="00C51103"/>
    <w:rsid w:val="00C56348"/>
    <w:rsid w:val="00C700DC"/>
    <w:rsid w:val="00C83190"/>
    <w:rsid w:val="00C8757F"/>
    <w:rsid w:val="00C96A07"/>
    <w:rsid w:val="00CB39B8"/>
    <w:rsid w:val="00CC4F8F"/>
    <w:rsid w:val="00CC72A6"/>
    <w:rsid w:val="00CD0EE9"/>
    <w:rsid w:val="00CE2549"/>
    <w:rsid w:val="00D22942"/>
    <w:rsid w:val="00D93E24"/>
    <w:rsid w:val="00DB1138"/>
    <w:rsid w:val="00DD739F"/>
    <w:rsid w:val="00DE3D06"/>
    <w:rsid w:val="00DE5554"/>
    <w:rsid w:val="00DE5D9E"/>
    <w:rsid w:val="00DF1A7E"/>
    <w:rsid w:val="00E16E43"/>
    <w:rsid w:val="00E2742B"/>
    <w:rsid w:val="00E37A47"/>
    <w:rsid w:val="00E44AFA"/>
    <w:rsid w:val="00E603F3"/>
    <w:rsid w:val="00E6737D"/>
    <w:rsid w:val="00E70B8C"/>
    <w:rsid w:val="00E7153B"/>
    <w:rsid w:val="00EA3DA3"/>
    <w:rsid w:val="00EC591F"/>
    <w:rsid w:val="00EE0EDE"/>
    <w:rsid w:val="00EF0CDD"/>
    <w:rsid w:val="00EF2983"/>
    <w:rsid w:val="00F46686"/>
    <w:rsid w:val="00F57B41"/>
    <w:rsid w:val="00F64583"/>
    <w:rsid w:val="00FA4B88"/>
    <w:rsid w:val="00FB5C05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B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0B34CA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301E53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5A3B55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8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4A81"/>
    <w:rPr>
      <w:lang w:val="ru-RU"/>
    </w:rPr>
  </w:style>
  <w:style w:type="paragraph" w:styleId="aa">
    <w:name w:val="footer"/>
    <w:basedOn w:val="a"/>
    <w:link w:val="ab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4A81"/>
    <w:rPr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412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c">
    <w:name w:val="List Paragraph"/>
    <w:basedOn w:val="a"/>
    <w:uiPriority w:val="34"/>
    <w:qFormat/>
    <w:rsid w:val="00875335"/>
    <w:pPr>
      <w:ind w:left="720"/>
      <w:contextualSpacing/>
    </w:pPr>
  </w:style>
  <w:style w:type="table" w:customStyle="1" w:styleId="4">
    <w:name w:val="Сетка таблицы4"/>
    <w:basedOn w:val="a1"/>
    <w:next w:val="a7"/>
    <w:uiPriority w:val="59"/>
    <w:rsid w:val="009D3DA6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D6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2B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table" w:styleId="a7">
    <w:name w:val="Table Grid"/>
    <w:basedOn w:val="a1"/>
    <w:uiPriority w:val="39"/>
    <w:rsid w:val="000B34CA"/>
    <w:pPr>
      <w:spacing w:after="0" w:line="240" w:lineRule="auto"/>
    </w:pPr>
    <w:rPr>
      <w:rFonts w:ascii="Calibri" w:eastAsia="Times New Roman" w:hAnsi="Calibri" w:cs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301E53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7"/>
    <w:uiPriority w:val="59"/>
    <w:rsid w:val="005A3B55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8757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4A81"/>
    <w:rPr>
      <w:lang w:val="ru-RU"/>
    </w:rPr>
  </w:style>
  <w:style w:type="paragraph" w:styleId="aa">
    <w:name w:val="footer"/>
    <w:basedOn w:val="a"/>
    <w:link w:val="ab"/>
    <w:uiPriority w:val="99"/>
    <w:unhideWhenUsed/>
    <w:rsid w:val="00A54A8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4A81"/>
    <w:rPr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412B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c">
    <w:name w:val="List Paragraph"/>
    <w:basedOn w:val="a"/>
    <w:uiPriority w:val="34"/>
    <w:qFormat/>
    <w:rsid w:val="00875335"/>
    <w:pPr>
      <w:ind w:left="720"/>
      <w:contextualSpacing/>
    </w:pPr>
  </w:style>
  <w:style w:type="table" w:customStyle="1" w:styleId="4">
    <w:name w:val="Сетка таблицы4"/>
    <w:basedOn w:val="a1"/>
    <w:next w:val="a7"/>
    <w:uiPriority w:val="59"/>
    <w:rsid w:val="009D3DA6"/>
    <w:pPr>
      <w:spacing w:after="0" w:line="240" w:lineRule="auto"/>
    </w:pPr>
    <w:rPr>
      <w:rFonts w:eastAsia="Times New Roman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2425</Words>
  <Characters>1383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2023-05-22T10:39:00Z</cp:lastPrinted>
  <dcterms:created xsi:type="dcterms:W3CDTF">2023-05-25T05:26:00Z</dcterms:created>
  <dcterms:modified xsi:type="dcterms:W3CDTF">2023-05-25T07:24:00Z</dcterms:modified>
</cp:coreProperties>
</file>