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9F" w:rsidRDefault="00E4639F" w:rsidP="0035274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953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4D" w:rsidRPr="0061499A" w:rsidRDefault="0035274D" w:rsidP="00E4639F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61499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35274D" w:rsidRPr="0061499A" w:rsidRDefault="0035274D" w:rsidP="0035274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61499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35274D" w:rsidRPr="0061499A" w:rsidRDefault="0035274D" w:rsidP="0035274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6149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ВИКОНАВЧИЙ КОМІТЕТ </w:t>
      </w:r>
    </w:p>
    <w:p w:rsidR="0035274D" w:rsidRPr="0061499A" w:rsidRDefault="0035274D" w:rsidP="0035274D">
      <w:pPr>
        <w:autoSpaceDN w:val="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5274D" w:rsidRPr="0061499A" w:rsidRDefault="0035274D" w:rsidP="00E4639F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499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35274D" w:rsidRPr="0061499A" w:rsidRDefault="0035274D" w:rsidP="00E4639F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5274D" w:rsidRPr="00E4639F" w:rsidRDefault="0035274D" w:rsidP="00E463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49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C4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B39">
        <w:rPr>
          <w:rFonts w:ascii="Times New Roman" w:hAnsi="Times New Roman" w:cs="Times New Roman"/>
          <w:sz w:val="28"/>
          <w:szCs w:val="28"/>
          <w:lang w:val="uk-UA"/>
        </w:rPr>
        <w:t>27. 09.</w:t>
      </w:r>
      <w:r w:rsidRPr="0061499A">
        <w:rPr>
          <w:rFonts w:ascii="Times New Roman" w:hAnsi="Times New Roman" w:cs="Times New Roman"/>
          <w:sz w:val="28"/>
          <w:szCs w:val="28"/>
        </w:rPr>
        <w:t>20</w:t>
      </w:r>
      <w:r w:rsidR="00E217A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1499A">
        <w:rPr>
          <w:rFonts w:ascii="Times New Roman" w:hAnsi="Times New Roman" w:cs="Times New Roman"/>
          <w:sz w:val="28"/>
          <w:szCs w:val="28"/>
        </w:rPr>
        <w:tab/>
      </w:r>
      <w:r w:rsidR="001234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63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2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63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639F">
        <w:rPr>
          <w:rFonts w:ascii="Times New Roman" w:hAnsi="Times New Roman" w:cs="Times New Roman"/>
          <w:b/>
          <w:sz w:val="28"/>
          <w:szCs w:val="28"/>
          <w:lang w:val="uk-UA"/>
        </w:rPr>
        <w:t>766</w:t>
      </w:r>
    </w:p>
    <w:p w:rsidR="0035274D" w:rsidRPr="0061499A" w:rsidRDefault="0035274D" w:rsidP="00E4639F">
      <w:pPr>
        <w:rPr>
          <w:rFonts w:ascii="Times New Roman" w:hAnsi="Times New Roman" w:cs="Times New Roman"/>
          <w:sz w:val="28"/>
          <w:szCs w:val="28"/>
        </w:rPr>
      </w:pPr>
      <w:r w:rsidRPr="0061499A">
        <w:rPr>
          <w:rFonts w:ascii="Times New Roman" w:hAnsi="Times New Roman" w:cs="Times New Roman"/>
          <w:sz w:val="28"/>
          <w:szCs w:val="28"/>
        </w:rPr>
        <w:t>м. Долина</w:t>
      </w:r>
    </w:p>
    <w:p w:rsidR="00F3780D" w:rsidRDefault="00F3780D" w:rsidP="00F60265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A1B39" w:rsidRPr="007A1B39" w:rsidRDefault="00F3780D" w:rsidP="007A1B39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 w:rsidR="002B163D"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стан </w:t>
      </w:r>
      <w:r w:rsidR="004B2E37"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підготовки КНП </w:t>
      </w:r>
    </w:p>
    <w:p w:rsidR="007A1B39" w:rsidRPr="007A1B39" w:rsidRDefault="004B2E37" w:rsidP="007A1B39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proofErr w:type="spellStart"/>
      <w:r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Долинська</w:t>
      </w:r>
      <w:proofErr w:type="spellEnd"/>
      <w:r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багатопрофільна лікарня» </w:t>
      </w:r>
    </w:p>
    <w:p w:rsidR="00E217AA" w:rsidRPr="007A1B39" w:rsidRDefault="004B2E37" w:rsidP="007A1B39">
      <w:pPr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роботи в осінньо-зимовий період 2023-2024 років</w:t>
      </w:r>
    </w:p>
    <w:p w:rsidR="00F3780D" w:rsidRDefault="00F3780D" w:rsidP="00F6026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439" w:rsidRPr="00575439" w:rsidRDefault="00575439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наказу департаменту охорони здоров’я від  23.05.2023</w:t>
      </w:r>
      <w:r w:rsidR="00E46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№320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«Про підготовку закладів охорони здоров’я та медичних коледжів до роботи в осінньо-</w:t>
      </w:r>
      <w:r w:rsidR="00F60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зимовий період 2023-2024 років»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адміністрацією КНП «</w:t>
      </w:r>
      <w:proofErr w:type="spellStart"/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Долинська</w:t>
      </w:r>
      <w:proofErr w:type="spellEnd"/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багатопрофільна лікарня» видано наказ від  23.05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№98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«Про підготовку до роботи в осінньо-зимовий період 2023-2024 років». Наказом створена комісія, яка розпочала діяльність щодо підготовки закладу до роботи в осінньо-зимовий період.</w:t>
      </w:r>
    </w:p>
    <w:p w:rsidR="00575439" w:rsidRDefault="00575439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31 травня 2023 року затверджено план заходів щодо підготовки. Керуючись 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наказом міністерства палива та енергетики України, міністерства з питань житлово-комунального господарства У</w:t>
      </w:r>
      <w:r w:rsidR="00F60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країни № 620/378 від 10.12.2008 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р. «Про затвердження Правил підготовки теплових господарств до опалювального періоду» комісія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провела </w:t>
      </w:r>
      <w:r w:rsidRPr="005754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обстеження будівель та споруд з метою подальшого видання паспортів готовності до роботи в опалювальний період.</w:t>
      </w:r>
    </w:p>
    <w:p w:rsidR="00F60265" w:rsidRDefault="00575439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 основі аналізу використання паливної сировини за попередній осінньо-зимовий період сформовано потребу в паливі на опалювальний період   2023-2024 років.</w:t>
      </w:r>
    </w:p>
    <w:p w:rsidR="00AC4A7B" w:rsidRDefault="00AC4A7B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опалювальний період 2022-2023 років д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обовий розхід  палива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складав:</w:t>
      </w:r>
    </w:p>
    <w:p w:rsidR="00AC4A7B" w:rsidRPr="00AC4A7B" w:rsidRDefault="00AC4A7B" w:rsidP="00F60265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котельня вул. </w:t>
      </w:r>
      <w:r w:rsidR="00134EC8" w:rsidRPr="00AC4A7B">
        <w:rPr>
          <w:sz w:val="28"/>
          <w:szCs w:val="28"/>
          <w:lang w:eastAsia="uk-UA"/>
        </w:rPr>
        <w:t xml:space="preserve"> Грицей,15:</w:t>
      </w:r>
    </w:p>
    <w:p w:rsidR="00134EC8" w:rsidRPr="00134EC8" w:rsidRDefault="00AC4A7B" w:rsidP="00F6026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359" w:rsidRPr="00317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4,5- 6,5 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(день 2,0-2,5м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ніч 2,5-3,0м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134EC8" w:rsidRPr="00134EC8" w:rsidRDefault="00AC4A7B" w:rsidP="00F6026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дрова + брикети*- 3,0 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+ 1 тонна </w:t>
      </w:r>
    </w:p>
    <w:p w:rsidR="00134EC8" w:rsidRDefault="00AC4A7B" w:rsidP="00F6026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*брикети використовувались в перемішку до дров.</w:t>
      </w:r>
    </w:p>
    <w:p w:rsidR="00134EC8" w:rsidRPr="00134EC8" w:rsidRDefault="00AC4A7B" w:rsidP="00F6026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-     котельня вул.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Антоновича ,23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</w:t>
      </w:r>
      <w:proofErr w:type="spellEnd"/>
      <w:r w:rsidRPr="00AC4A7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дитини)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134EC8" w:rsidRPr="00134EC8" w:rsidRDefault="00AC4A7B" w:rsidP="00F6026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д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359" w:rsidRPr="00317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2D13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1,3-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1,7 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(день 0,6-0,8м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ніч 0,7-0,9 м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="00134EC8"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E4639F" w:rsidRDefault="00E4639F" w:rsidP="00F602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4EC8" w:rsidRDefault="00134EC8" w:rsidP="00F602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Загальне використання  твердого палива за опалювальний період 2022-2023 років  склало </w:t>
      </w:r>
      <w:r w:rsidRPr="00134E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1016,981 м</w:t>
      </w:r>
      <w:r w:rsidRPr="00134EC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uk-UA"/>
        </w:rPr>
        <w:t>3</w:t>
      </w:r>
      <w:r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дров та </w:t>
      </w:r>
      <w:r w:rsidRPr="00134E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10т</w:t>
      </w:r>
      <w:r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брикет, а загальний залишок</w:t>
      </w:r>
      <w:r w:rsidR="00AC4A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134E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31,856</w:t>
      </w:r>
      <w:r w:rsidR="00F602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 </w:t>
      </w:r>
      <w:r w:rsidRPr="00134E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</w:t>
      </w:r>
      <w:r w:rsidRPr="00134EC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uk-UA"/>
        </w:rPr>
        <w:t>3</w:t>
      </w:r>
      <w:r w:rsidRPr="00134E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дров.</w:t>
      </w:r>
    </w:p>
    <w:p w:rsidR="00317664" w:rsidRPr="00317664" w:rsidRDefault="00317664" w:rsidP="00F602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7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Враховуючи, що попередній опалювальний період був відносно теплим, для забезпечення закладу твердим паливом в достатньому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сязі з урахуванням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всіх ризиків на опалювальний період 2023-2024 років </w:t>
      </w:r>
      <w:r w:rsidRPr="00317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необхідно здійснити закупівлю твердого палива в кількості </w:t>
      </w:r>
      <w:r w:rsidRPr="00317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1642</w:t>
      </w:r>
      <w:r w:rsidR="00F602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176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</w:t>
      </w:r>
      <w:r w:rsidRPr="0031766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uk-UA"/>
        </w:rPr>
        <w:t>3</w:t>
      </w:r>
      <w:r w:rsidRPr="00317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саме:</w:t>
      </w:r>
    </w:p>
    <w:p w:rsidR="00317664" w:rsidRDefault="00317664" w:rsidP="00F60265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uk-UA"/>
        </w:rPr>
      </w:pPr>
      <w:r w:rsidRPr="00317664">
        <w:rPr>
          <w:sz w:val="28"/>
          <w:szCs w:val="28"/>
          <w:lang w:eastAsia="uk-UA"/>
        </w:rPr>
        <w:t xml:space="preserve">для забезпечення котельні по вул. О. Грицей,15 – </w:t>
      </w:r>
      <w:r w:rsidRPr="00317664">
        <w:rPr>
          <w:b/>
          <w:sz w:val="28"/>
          <w:szCs w:val="28"/>
          <w:lang w:eastAsia="uk-UA"/>
        </w:rPr>
        <w:t>1222 м</w:t>
      </w:r>
      <w:r w:rsidRPr="00317664">
        <w:rPr>
          <w:b/>
          <w:sz w:val="28"/>
          <w:szCs w:val="28"/>
          <w:vertAlign w:val="superscript"/>
          <w:lang w:eastAsia="uk-UA"/>
        </w:rPr>
        <w:t>3</w:t>
      </w:r>
      <w:r w:rsidRPr="00317664">
        <w:rPr>
          <w:sz w:val="28"/>
          <w:szCs w:val="28"/>
          <w:lang w:eastAsia="uk-UA"/>
        </w:rPr>
        <w:t>;</w:t>
      </w:r>
    </w:p>
    <w:p w:rsidR="00317664" w:rsidRPr="00317664" w:rsidRDefault="00317664" w:rsidP="00F60265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uk-UA"/>
        </w:rPr>
      </w:pPr>
      <w:r w:rsidRPr="00317664">
        <w:rPr>
          <w:sz w:val="28"/>
          <w:szCs w:val="28"/>
          <w:lang w:eastAsia="uk-UA"/>
        </w:rPr>
        <w:t>для забезпечення котельні по вул.</w:t>
      </w:r>
      <w:r>
        <w:rPr>
          <w:sz w:val="28"/>
          <w:szCs w:val="28"/>
          <w:lang w:eastAsia="uk-UA"/>
        </w:rPr>
        <w:t xml:space="preserve"> Антоновича,23 </w:t>
      </w:r>
      <w:r w:rsidRPr="00317664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</w:t>
      </w:r>
      <w:r w:rsidRPr="00317664">
        <w:rPr>
          <w:b/>
          <w:sz w:val="28"/>
          <w:szCs w:val="28"/>
          <w:lang w:eastAsia="uk-UA"/>
        </w:rPr>
        <w:t>420 м</w:t>
      </w:r>
      <w:r w:rsidRPr="00317664">
        <w:rPr>
          <w:b/>
          <w:sz w:val="28"/>
          <w:szCs w:val="28"/>
          <w:vertAlign w:val="superscript"/>
          <w:lang w:eastAsia="uk-UA"/>
        </w:rPr>
        <w:t>3</w:t>
      </w:r>
      <w:r w:rsidRPr="00317664">
        <w:rPr>
          <w:sz w:val="28"/>
          <w:szCs w:val="28"/>
          <w:lang w:eastAsia="uk-UA"/>
        </w:rPr>
        <w:t>.</w:t>
      </w:r>
    </w:p>
    <w:p w:rsidR="00E4639F" w:rsidRPr="00E4639F" w:rsidRDefault="004B1550" w:rsidP="00E4639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1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Беручи до уваги, що котли в закладі спроможні працювати на декількох видах палива, для визначення ефективності та вартості різних видів палива, заклад звернув</w:t>
      </w:r>
      <w:r w:rsidR="00A30A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 за допомогою в розрахунках до </w:t>
      </w:r>
      <w:r w:rsidR="006C1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відділу сталого енергетичного розвитку та адаптації до змін клімату управління зовнішніх зв</w:t>
      </w:r>
      <w:r w:rsidR="006C1152" w:rsidRPr="006C115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="006C1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язків</w:t>
      </w:r>
      <w:proofErr w:type="spellEnd"/>
      <w:r w:rsidR="006C1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місцевого розвитку міської ради</w:t>
      </w:r>
      <w:r w:rsidR="00A30A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B1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Андрія Мартина. </w:t>
      </w:r>
      <w:r w:rsidR="006C1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Фахівцями міської ради проведено розрахунок та аналіз енергоефективності різних видів палива. </w:t>
      </w:r>
      <w:r w:rsidR="006C1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Визначена необхідна кількість </w:t>
      </w:r>
      <w:r w:rsidR="006C1152" w:rsidRPr="004B1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тепла на сезон: 3551 </w:t>
      </w:r>
      <w:proofErr w:type="spellStart"/>
      <w:r w:rsidR="006C1152" w:rsidRPr="004B1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Гкал</w:t>
      </w:r>
      <w:proofErr w:type="spellEnd"/>
      <w:r w:rsidR="006C1152" w:rsidRPr="004B1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B1550" w:rsidRPr="00F60265" w:rsidRDefault="004B1550" w:rsidP="00F602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Витрати коштів на забезпечення закладу паливною сировиною становить:</w:t>
      </w:r>
    </w:p>
    <w:p w:rsidR="004B1550" w:rsidRPr="006C1152" w:rsidRDefault="006C1152" w:rsidP="00F6026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color w:val="000000"/>
          <w:sz w:val="28"/>
          <w:szCs w:val="28"/>
          <w:bdr w:val="none" w:sz="0" w:space="0" w:color="auto" w:frame="1"/>
          <w:lang w:eastAsia="uk-UA"/>
        </w:rPr>
        <w:t>д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рова: 1642м</w:t>
      </w:r>
      <w:r w:rsidR="004B1550" w:rsidRPr="006C1152">
        <w:rPr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3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* 2000 грн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= 3 284 000,00 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грн (вологість дров нижче середньої)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:rsidR="004B1550" w:rsidRPr="006C1152" w:rsidRDefault="006C1152" w:rsidP="00F6026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елета</w:t>
      </w:r>
      <w:proofErr w:type="spellEnd"/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деревна: 3 551/4,1( середня калорійність)= 866 </w:t>
      </w:r>
      <w:proofErr w:type="spellStart"/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тонн</w:t>
      </w:r>
      <w:proofErr w:type="spellEnd"/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* 7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000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грн= 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6 062 000,00 грн;</w:t>
      </w:r>
    </w:p>
    <w:p w:rsidR="00E4639F" w:rsidRPr="00E4639F" w:rsidRDefault="006C1152" w:rsidP="00E4639F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color w:val="000000"/>
          <w:sz w:val="28"/>
          <w:szCs w:val="28"/>
          <w:bdr w:val="none" w:sz="0" w:space="0" w:color="auto" w:frame="1"/>
          <w:lang w:eastAsia="uk-UA"/>
        </w:rPr>
        <w:t>б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рикети: 3 551/4,3(середня 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калорійність)= 825 </w:t>
      </w:r>
      <w:proofErr w:type="spellStart"/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тонн</w:t>
      </w:r>
      <w:proofErr w:type="spellEnd"/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* 10 000 </w:t>
      </w:r>
      <w:r w:rsidR="004B1550" w:rsidRPr="006C1152">
        <w:rPr>
          <w:color w:val="000000"/>
          <w:sz w:val="28"/>
          <w:szCs w:val="28"/>
          <w:bdr w:val="none" w:sz="0" w:space="0" w:color="auto" w:frame="1"/>
          <w:lang w:eastAsia="uk-UA"/>
        </w:rPr>
        <w:t>грн</w:t>
      </w:r>
      <w:r w:rsidR="00E4639F">
        <w:rPr>
          <w:color w:val="000000"/>
          <w:sz w:val="28"/>
          <w:szCs w:val="28"/>
          <w:bdr w:val="none" w:sz="0" w:space="0" w:color="auto" w:frame="1"/>
          <w:lang w:eastAsia="uk-UA"/>
        </w:rPr>
        <w:t>= 8 250 000,00 грн;</w:t>
      </w:r>
    </w:p>
    <w:p w:rsidR="00E4639F" w:rsidRDefault="00E4639F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4B1550" w:rsidRPr="004B1550" w:rsidRDefault="004B1550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Беручи до уваги вищевказані розрахунки, для забезпечення закладу достатньою кількістю </w:t>
      </w:r>
      <w:proofErr w:type="spellStart"/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Гкал</w:t>
      </w:r>
      <w:proofErr w:type="spellEnd"/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та з урахуванням фінансових затрат </w:t>
      </w:r>
      <w:r w:rsidR="006C1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рекомендовано </w:t>
      </w: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використовувати дрова. </w:t>
      </w:r>
    </w:p>
    <w:p w:rsidR="004B1550" w:rsidRPr="004B1550" w:rsidRDefault="004B1550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Станом на 13 ве</w:t>
      </w:r>
      <w:r w:rsidR="00DA1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ресня 2023 року закладом проведено</w:t>
      </w: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тендер на закупівлю паливної деревини в обсязі 773м</w:t>
      </w: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uk-UA"/>
        </w:rPr>
        <w:t>3</w:t>
      </w: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  <w:r w:rsidR="00DA1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4B1550" w:rsidRPr="004B1550" w:rsidRDefault="004B1550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 період з травня по вересень 2023 року працівниками технічного відділу здійснювалась чистка теплотрас та знесення сухостійних дерев та насаджень, які можуть причинити аварійні ситуації.</w:t>
      </w:r>
    </w:p>
    <w:p w:rsidR="00F60265" w:rsidRDefault="004B1550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Виконано обстеження електричних мереж, видані акти відповідності. Для уникнення аварійних ситуацій заплановано встановлення електрощита та переключення ввідних кабелів</w:t>
      </w:r>
      <w:r w:rsidR="00DA1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що живлять котельню</w:t>
      </w:r>
      <w:r w:rsidR="00DA1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та лабораторію по вулиці О.</w:t>
      </w:r>
      <w:r w:rsidRPr="004B1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Грицей,15.</w:t>
      </w:r>
    </w:p>
    <w:p w:rsidR="008F5C55" w:rsidRDefault="008F5C55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Проведено інвентаризацію наявних резервних джерел живлення, забезпечено їх робочий стан, підготовлено запас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лива для забезпечення роботи генераторів. Заклад забезпечений 4 стаціонарними генераторами потужністю від 70 до 100</w:t>
      </w:r>
      <w:r w:rsidR="00F60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кВт  та 7 мобільними </w:t>
      </w:r>
      <w:r w:rsidR="00F60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генераторами потужністю від 2,2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до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:</w:t>
      </w:r>
    </w:p>
    <w:p w:rsidR="007A1B39" w:rsidRDefault="007A1B39" w:rsidP="00E4639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9894" w:type="dxa"/>
        <w:jc w:val="right"/>
        <w:tblLook w:val="04A0" w:firstRow="1" w:lastRow="0" w:firstColumn="1" w:lastColumn="0" w:noHBand="0" w:noVBand="1"/>
      </w:tblPr>
      <w:tblGrid>
        <w:gridCol w:w="747"/>
        <w:gridCol w:w="1819"/>
        <w:gridCol w:w="1558"/>
        <w:gridCol w:w="1836"/>
        <w:gridCol w:w="3934"/>
      </w:tblGrid>
      <w:tr w:rsidR="008F5C55" w:rsidRPr="008F5C55" w:rsidTr="00F60265">
        <w:trPr>
          <w:trHeight w:val="309"/>
          <w:jc w:val="right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п/</w:t>
            </w:r>
            <w:r w:rsidRPr="008F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</w:t>
            </w:r>
            <w:r w:rsidRPr="008F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ип генератора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Pr="008F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ид палива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r w:rsidRPr="008F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отужність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Перелік задіяних споживачів</w:t>
            </w:r>
          </w:p>
        </w:tc>
      </w:tr>
      <w:tr w:rsidR="008F5C55" w:rsidRPr="008F5C55" w:rsidTr="00F60265">
        <w:trPr>
          <w:trHeight w:val="560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стаціонарний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дизель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65" w:rsidRDefault="003C6002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Неврологічне відділення,</w:t>
            </w:r>
            <w:r w:rsidR="008F5C55"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хірургії та ортопедії, відділення анестезіології та інтенсив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ної те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рапії, терапевтичне  відділення</w:t>
            </w:r>
            <w:r w:rsidR="008F5C55"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F5C55"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відділення </w:t>
            </w:r>
            <w:r w:rsidR="005B1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гемодіалізу,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відділення паліативної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допомоги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B1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відділення екстре</w:t>
            </w:r>
            <w:r w:rsidR="008F5C55"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ної медичної допомоги, операційний блок,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8F5C55" w:rsidRPr="008F5C55" w:rsidRDefault="00F6026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відділення реабілітації</w:t>
            </w:r>
          </w:p>
        </w:tc>
      </w:tr>
      <w:tr w:rsidR="008F5C55" w:rsidRPr="008F5C55" w:rsidTr="00F60265">
        <w:trPr>
          <w:trHeight w:val="796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стаціонарний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дизель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адміністративн</w:t>
            </w:r>
            <w:r w:rsidR="003C6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 корпус,</w:t>
            </w:r>
            <w:r w:rsidR="003C6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 котельня,</w:t>
            </w:r>
            <w:r w:rsidR="003C6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 патолого-</w:t>
            </w: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анатомічний відділ, </w:t>
            </w: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бак</w:t>
            </w:r>
            <w:r w:rsidR="003C6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теріологічна 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лабораторія</w:t>
            </w:r>
          </w:p>
        </w:tc>
      </w:tr>
      <w:tr w:rsidR="008F5C55" w:rsidRPr="008F5C55" w:rsidTr="00F60265">
        <w:trPr>
          <w:trHeight w:val="56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стаціонарний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дизель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Консультативно-діагностичний центр,</w:t>
            </w: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 центр здоров`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 жінки,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 інфекційне відділення</w:t>
            </w:r>
          </w:p>
        </w:tc>
      </w:tr>
      <w:tr w:rsidR="008F5C55" w:rsidRPr="008F5C55" w:rsidTr="00F60265">
        <w:trPr>
          <w:trHeight w:val="437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стаціонарний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дизель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ентр здоров`я дитини,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 котельня</w:t>
            </w:r>
          </w:p>
        </w:tc>
      </w:tr>
      <w:tr w:rsidR="008F5C55" w:rsidRPr="008F5C55" w:rsidTr="00F60265">
        <w:trPr>
          <w:trHeight w:val="25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дизель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ентр здоров'я жінки(операційна)</w:t>
            </w:r>
          </w:p>
        </w:tc>
      </w:tr>
      <w:tr w:rsidR="008F5C55" w:rsidRPr="008F5C55" w:rsidTr="00F60265">
        <w:trPr>
          <w:trHeight w:val="210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2,2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55" w:rsidRPr="008F5C55" w:rsidRDefault="00F6026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склад, архів</w:t>
            </w:r>
          </w:p>
        </w:tc>
      </w:tr>
      <w:tr w:rsidR="008F5C55" w:rsidRPr="008F5C55" w:rsidTr="00F60265">
        <w:trPr>
          <w:trHeight w:val="30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3,5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укриття №1</w:t>
            </w:r>
          </w:p>
        </w:tc>
      </w:tr>
      <w:tr w:rsidR="008F5C55" w:rsidRPr="008F5C55" w:rsidTr="00F60265">
        <w:trPr>
          <w:trHeight w:val="30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3,5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F6026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укриття КДЦ</w:t>
            </w:r>
          </w:p>
        </w:tc>
      </w:tr>
      <w:tr w:rsidR="008F5C55" w:rsidRPr="008F5C55" w:rsidTr="00F60265">
        <w:trPr>
          <w:trHeight w:val="30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5,5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укриття Центр здоров`я жінки.</w:t>
            </w:r>
          </w:p>
        </w:tc>
      </w:tr>
      <w:tr w:rsidR="008F5C55" w:rsidRPr="008F5C55" w:rsidTr="00F60265">
        <w:trPr>
          <w:trHeight w:val="30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5,5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укриття Центр здоров`я дитини.</w:t>
            </w:r>
          </w:p>
        </w:tc>
      </w:tr>
      <w:tr w:rsidR="008F5C55" w:rsidRPr="008F5C55" w:rsidTr="00F60265">
        <w:trPr>
          <w:trHeight w:val="309"/>
          <w:jc w:val="right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Генератор мобільний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бензин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5,5 кВт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8F5C55" w:rsidRDefault="008F5C55" w:rsidP="00E46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Цен</w:t>
            </w:r>
            <w:r w:rsidR="00F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 здоров`я дитини (реанімація)</w:t>
            </w:r>
          </w:p>
        </w:tc>
      </w:tr>
    </w:tbl>
    <w:p w:rsidR="008F5C55" w:rsidRDefault="008F5C55" w:rsidP="00E463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E4639F" w:rsidRPr="008F5C55" w:rsidRDefault="00E4639F" w:rsidP="00E463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8F5C55" w:rsidRPr="008F5C55" w:rsidRDefault="008F5C55" w:rsidP="00E463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ab/>
        <w:t xml:space="preserve">Станом на 1 </w:t>
      </w:r>
      <w:r w:rsidR="003C60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вересня запас палива для резервних джерел живлення </w:t>
      </w: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становить:</w:t>
      </w:r>
    </w:p>
    <w:p w:rsidR="008F5C55" w:rsidRDefault="003C6002" w:rsidP="00F60265">
      <w:pPr>
        <w:pStyle w:val="a3"/>
        <w:numPr>
          <w:ilvl w:val="2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color w:val="000000"/>
          <w:sz w:val="28"/>
          <w:szCs w:val="28"/>
          <w:bdr w:val="none" w:sz="0" w:space="0" w:color="auto" w:frame="1"/>
          <w:lang w:eastAsia="uk-UA"/>
        </w:rPr>
        <w:t>б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ензин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- 1</w:t>
      </w:r>
      <w:r w:rsidR="00F60265">
        <w:rPr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960</w:t>
      </w:r>
      <w:r w:rsidR="00F60265">
        <w:rPr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л.</w:t>
      </w:r>
    </w:p>
    <w:p w:rsidR="008F5C55" w:rsidRDefault="003C6002" w:rsidP="00F60265">
      <w:pPr>
        <w:pStyle w:val="a3"/>
        <w:numPr>
          <w:ilvl w:val="2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color w:val="000000"/>
          <w:sz w:val="28"/>
          <w:szCs w:val="28"/>
          <w:bdr w:val="none" w:sz="0" w:space="0" w:color="auto" w:frame="1"/>
          <w:lang w:eastAsia="uk-UA"/>
        </w:rPr>
        <w:t>д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изель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- 2</w:t>
      </w:r>
      <w:r w:rsidR="00F60265">
        <w:rPr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920</w:t>
      </w:r>
      <w:r w:rsidR="00F60265">
        <w:rPr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8F5C55" w:rsidRPr="003C6002">
        <w:rPr>
          <w:color w:val="000000"/>
          <w:sz w:val="28"/>
          <w:szCs w:val="28"/>
          <w:bdr w:val="none" w:sz="0" w:space="0" w:color="auto" w:frame="1"/>
          <w:lang w:eastAsia="uk-UA"/>
        </w:rPr>
        <w:t>л.</w:t>
      </w:r>
    </w:p>
    <w:p w:rsidR="00F60265" w:rsidRPr="003C6002" w:rsidRDefault="00F60265" w:rsidP="00F60265">
      <w:pPr>
        <w:pStyle w:val="a3"/>
        <w:autoSpaceDE w:val="0"/>
        <w:autoSpaceDN w:val="0"/>
        <w:adjustRightInd w:val="0"/>
        <w:ind w:left="216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F5C55" w:rsidRPr="008F5C55" w:rsidRDefault="008F5C55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Виконано планові роботи щодо перевірки димових та вентиляційних каналів. Проведено перевірку стану підвалів, горищ. </w:t>
      </w:r>
    </w:p>
    <w:p w:rsidR="008F5C55" w:rsidRPr="008F5C55" w:rsidRDefault="008F5C55" w:rsidP="00F602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ab/>
        <w:t>Відповідно до результатів виконаних робіт та проведених обстежень комісією видано паспорти готовності теплового господарства до роботи в опалювальний період.</w:t>
      </w:r>
    </w:p>
    <w:p w:rsidR="008F5C55" w:rsidRDefault="008F5C55" w:rsidP="00F602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ab/>
        <w:t>В повному обсязі проведено аналіз споживань енергоносіїв. Зведено таблиці загальних потреб та законтрактованих об</w:t>
      </w: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’</w:t>
      </w:r>
      <w:proofErr w:type="spellStart"/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ємів</w:t>
      </w:r>
      <w:proofErr w:type="spellEnd"/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енергоносі</w:t>
      </w:r>
      <w:r w:rsidR="003C60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їв (інформація включає серпень-</w:t>
      </w: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грудень 2023 року):</w:t>
      </w:r>
    </w:p>
    <w:p w:rsidR="00E4639F" w:rsidRDefault="00E4639F" w:rsidP="00F602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E4639F" w:rsidRPr="008F5C55" w:rsidRDefault="00E4639F" w:rsidP="00F602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10606" w:type="dxa"/>
        <w:jc w:val="right"/>
        <w:tblInd w:w="69" w:type="dxa"/>
        <w:tblLook w:val="04A0" w:firstRow="1" w:lastRow="0" w:firstColumn="1" w:lastColumn="0" w:noHBand="0" w:noVBand="1"/>
      </w:tblPr>
      <w:tblGrid>
        <w:gridCol w:w="434"/>
        <w:gridCol w:w="1844"/>
        <w:gridCol w:w="625"/>
        <w:gridCol w:w="1012"/>
        <w:gridCol w:w="831"/>
        <w:gridCol w:w="1116"/>
        <w:gridCol w:w="709"/>
        <w:gridCol w:w="567"/>
        <w:gridCol w:w="756"/>
        <w:gridCol w:w="1012"/>
        <w:gridCol w:w="689"/>
        <w:gridCol w:w="1011"/>
      </w:tblGrid>
      <w:tr w:rsidR="008F5C55" w:rsidRPr="007A1B39" w:rsidTr="007A1B39">
        <w:trPr>
          <w:trHeight w:val="331"/>
          <w:jc w:val="right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№ з/п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Назва об'єкту</w:t>
            </w:r>
          </w:p>
        </w:tc>
        <w:tc>
          <w:tcPr>
            <w:tcW w:w="8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 потреба в енергоносіях до кінця 2023 року</w:t>
            </w:r>
          </w:p>
        </w:tc>
      </w:tr>
      <w:tr w:rsidR="008F5C55" w:rsidRPr="007A1B39" w:rsidTr="007A1B39">
        <w:trPr>
          <w:trHeight w:val="360"/>
          <w:jc w:val="right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Природний газ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Електроенергія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Теплова енергія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Дрова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Холодна вода</w:t>
            </w:r>
          </w:p>
        </w:tc>
      </w:tr>
      <w:tr w:rsidR="008F5C55" w:rsidRPr="007A1B39" w:rsidTr="007A1B39">
        <w:trPr>
          <w:trHeight w:val="300"/>
          <w:jc w:val="right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кВт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</w:tr>
      <w:tr w:rsidR="008F5C55" w:rsidRPr="007A1B39" w:rsidTr="007A1B39">
        <w:trPr>
          <w:trHeight w:val="715"/>
          <w:jc w:val="right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55" w:rsidRPr="007A1B39" w:rsidRDefault="008F5C55" w:rsidP="007A1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КНП </w:t>
            </w:r>
            <w:r w:rsid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Долинська</w:t>
            </w:r>
            <w:proofErr w:type="spellEnd"/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багатопрофільна</w:t>
            </w: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 лікарня</w:t>
            </w:r>
            <w:r w:rsid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1 020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16 886,10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230 690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1 301 091,6 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1 094,8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2 189 600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7A1B39">
            <w:pPr>
              <w:spacing w:line="276" w:lineRule="auto"/>
              <w:ind w:right="-20" w:hanging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21 621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778 356</w:t>
            </w:r>
          </w:p>
        </w:tc>
      </w:tr>
    </w:tbl>
    <w:p w:rsidR="008F5C55" w:rsidRPr="008F5C55" w:rsidRDefault="008F5C55" w:rsidP="003C60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8F5C55" w:rsidRPr="008F5C55" w:rsidRDefault="008F5C55" w:rsidP="003C60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10569" w:type="dxa"/>
        <w:jc w:val="right"/>
        <w:tblLook w:val="04A0" w:firstRow="1" w:lastRow="0" w:firstColumn="1" w:lastColumn="0" w:noHBand="0" w:noVBand="1"/>
      </w:tblPr>
      <w:tblGrid>
        <w:gridCol w:w="477"/>
        <w:gridCol w:w="1843"/>
        <w:gridCol w:w="630"/>
        <w:gridCol w:w="794"/>
        <w:gridCol w:w="988"/>
        <w:gridCol w:w="1206"/>
        <w:gridCol w:w="578"/>
        <w:gridCol w:w="567"/>
        <w:gridCol w:w="850"/>
        <w:gridCol w:w="993"/>
        <w:gridCol w:w="708"/>
        <w:gridCol w:w="935"/>
      </w:tblGrid>
      <w:tr w:rsidR="008F5C55" w:rsidRPr="007A1B39" w:rsidTr="007A1B39">
        <w:trPr>
          <w:trHeight w:val="390"/>
          <w:jc w:val="right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ind w:left="-32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Назва об'єкту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Законтрактовані об'єми енергоносіїв до кінця 2023 року</w:t>
            </w:r>
          </w:p>
        </w:tc>
      </w:tr>
      <w:tr w:rsidR="008F5C55" w:rsidRPr="007A1B39" w:rsidTr="007A1B39">
        <w:trPr>
          <w:trHeight w:val="264"/>
          <w:jc w:val="right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ind w:left="-32" w:right="-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Природний газ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Електроенергія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Теплова енергія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Дрова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Холодна вода</w:t>
            </w:r>
          </w:p>
        </w:tc>
      </w:tr>
      <w:tr w:rsidR="008F5C55" w:rsidRPr="007A1B39" w:rsidTr="007A1B39">
        <w:trPr>
          <w:trHeight w:val="283"/>
          <w:jc w:val="right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ind w:left="-32" w:right="-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кВт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грн.</w:t>
            </w:r>
          </w:p>
        </w:tc>
      </w:tr>
      <w:tr w:rsidR="008F5C55" w:rsidRPr="007A1B39" w:rsidTr="007A1B39">
        <w:trPr>
          <w:trHeight w:val="713"/>
          <w:jc w:val="right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ind w:left="-32" w:right="-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КНП "</w:t>
            </w:r>
            <w:proofErr w:type="spellStart"/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Долинська</w:t>
            </w:r>
            <w:proofErr w:type="spellEnd"/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багатопрофільна</w:t>
            </w: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 лікарня"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407,7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7A1B39">
            <w:pPr>
              <w:spacing w:line="276" w:lineRule="auto"/>
              <w:ind w:right="-164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6 749,69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7A1B39">
            <w:pPr>
              <w:spacing w:line="276" w:lineRule="auto"/>
              <w:ind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252 766,22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1 425 601,48 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157,526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7A1B39">
            <w:pPr>
              <w:spacing w:line="276" w:lineRule="auto"/>
              <w:ind w:hanging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267 794,20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7A1B39">
            <w:pPr>
              <w:spacing w:line="276" w:lineRule="auto"/>
              <w:ind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20 044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55" w:rsidRPr="007A1B39" w:rsidRDefault="008F5C55" w:rsidP="003C60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7A1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721 584</w:t>
            </w:r>
          </w:p>
        </w:tc>
      </w:tr>
    </w:tbl>
    <w:p w:rsidR="008F5C55" w:rsidRPr="008F5C55" w:rsidRDefault="008F5C55" w:rsidP="00F602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8F5C55" w:rsidRPr="008F5C55" w:rsidRDefault="008F5C55" w:rsidP="00F602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 діяльності комісії по підготовці закладу до роботи в опалювальний період, прийняв участь представник Управління Державної інспекції з енергетичного нагляду України в Івано-Франківській області. План заходів виконаний в повному обсязі. Акти готовності теплового господарства до роботи в осінньо-зимовий період 2023-2024 років видані та подані до технічного відділу Департаменту охорони </w:t>
      </w:r>
      <w:proofErr w:type="spellStart"/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здоров</w:t>
      </w:r>
      <w:proofErr w:type="spellEnd"/>
      <w:r w:rsidRPr="008F5C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’я.</w:t>
      </w:r>
    </w:p>
    <w:p w:rsidR="0035274D" w:rsidRDefault="008F4743" w:rsidP="00F60265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Заслухавши інформацію генерального директора КНП «</w:t>
      </w:r>
      <w:proofErr w:type="spellStart"/>
      <w:r>
        <w:rPr>
          <w:rFonts w:ascii="Times New Roman" w:hAnsi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багатопрофільна лікарня» Ольги </w:t>
      </w:r>
      <w:proofErr w:type="spellStart"/>
      <w:r>
        <w:rPr>
          <w:rFonts w:ascii="Times New Roman" w:hAnsi="Times New Roman"/>
          <w:sz w:val="28"/>
          <w:szCs w:val="28"/>
        </w:rPr>
        <w:t>Ільчишин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к</w:t>
      </w:r>
      <w:r w:rsidRPr="00360E73">
        <w:rPr>
          <w:rFonts w:ascii="Times New Roman" w:hAnsi="Times New Roman"/>
          <w:sz w:val="28"/>
          <w:szCs w:val="28"/>
        </w:rPr>
        <w:t xml:space="preserve">еруючись статтею 39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виконавчий комітет </w:t>
      </w:r>
      <w:r w:rsidR="007A1B3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8F4743" w:rsidRDefault="008F4743" w:rsidP="00F60265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7A1B39" w:rsidRDefault="0035274D" w:rsidP="00F60265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7A1B39" w:rsidRDefault="007A1B39" w:rsidP="007A1B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A1B39" w:rsidRPr="007A1B39" w:rsidRDefault="007A1B39" w:rsidP="007A1B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1B39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bookmarkStart w:id="0" w:name="_GoBack"/>
      <w:r w:rsidRPr="007A1B39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2251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7A1B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B163D" w:rsidRPr="007A1B39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="002B163D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генерального директора </w:t>
      </w:r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>КНП «</w:t>
      </w:r>
      <w:proofErr w:type="spellStart"/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>Долинська</w:t>
      </w:r>
      <w:proofErr w:type="spellEnd"/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>багатопрофільна</w:t>
      </w:r>
      <w:proofErr w:type="spellEnd"/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>лікарня</w:t>
      </w:r>
      <w:proofErr w:type="spellEnd"/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644CB2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про</w:t>
      </w:r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proofErr w:type="gram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ідготовки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осінньо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-зимовий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2023-2024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взяти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644CB2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F7843" w:rsidRPr="007A1B39" w:rsidRDefault="007A1B39" w:rsidP="007A1B3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1B39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2. </w:t>
      </w:r>
      <w:proofErr w:type="spellStart"/>
      <w:r w:rsidR="007E79D6" w:rsidRPr="007A1B39">
        <w:rPr>
          <w:rFonts w:ascii="Times New Roman" w:hAnsi="Times New Roman" w:cs="Times New Roman"/>
          <w:sz w:val="28"/>
          <w:szCs w:val="28"/>
          <w:lang w:eastAsia="uk-UA"/>
        </w:rPr>
        <w:t>Вважати</w:t>
      </w:r>
      <w:proofErr w:type="spellEnd"/>
      <w:r w:rsidR="007E79D6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проведену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ідготовку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КНП «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Долинська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багатопрофільна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>лікарня</w:t>
      </w:r>
      <w:proofErr w:type="spellEnd"/>
      <w:r w:rsidR="004B2E37" w:rsidRPr="007A1B39">
        <w:rPr>
          <w:rFonts w:ascii="Times New Roman" w:hAnsi="Times New Roman" w:cs="Times New Roman"/>
          <w:sz w:val="28"/>
          <w:szCs w:val="28"/>
          <w:lang w:eastAsia="uk-UA"/>
        </w:rPr>
        <w:t xml:space="preserve">» до роботи в осінньо-зимовий період 2023-2024 років </w:t>
      </w:r>
      <w:r w:rsidR="00CF7843" w:rsidRPr="007A1B39">
        <w:rPr>
          <w:rFonts w:ascii="Times New Roman" w:hAnsi="Times New Roman" w:cs="Times New Roman"/>
          <w:sz w:val="28"/>
          <w:szCs w:val="28"/>
          <w:lang w:eastAsia="uk-UA"/>
        </w:rPr>
        <w:t>задовільною</w:t>
      </w:r>
      <w:r w:rsidR="007A7390" w:rsidRPr="007A1B3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5274D" w:rsidRPr="007A1B39" w:rsidRDefault="0035274D" w:rsidP="00F60265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7A1B39" w:rsidRDefault="0035274D" w:rsidP="00F60265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bookmarkEnd w:id="0"/>
    <w:p w:rsidR="007E79D6" w:rsidRPr="007A1B39" w:rsidRDefault="007E79D6" w:rsidP="003C6002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C148B" w:rsidRDefault="0035274D" w:rsidP="003C600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35274D" w:rsidRDefault="0035274D" w:rsidP="003C600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5274D" w:rsidRDefault="0035274D" w:rsidP="003C600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5274D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35274D" w:rsidSect="002251EA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34" w:rsidRDefault="00104334" w:rsidP="002251EA">
      <w:r>
        <w:separator/>
      </w:r>
    </w:p>
  </w:endnote>
  <w:endnote w:type="continuationSeparator" w:id="0">
    <w:p w:rsidR="00104334" w:rsidRDefault="00104334" w:rsidP="002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34" w:rsidRDefault="00104334" w:rsidP="002251EA">
      <w:r>
        <w:separator/>
      </w:r>
    </w:p>
  </w:footnote>
  <w:footnote w:type="continuationSeparator" w:id="0">
    <w:p w:rsidR="00104334" w:rsidRDefault="00104334" w:rsidP="0022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11283"/>
      <w:docPartObj>
        <w:docPartGallery w:val="Page Numbers (Top of Page)"/>
        <w:docPartUnique/>
      </w:docPartObj>
    </w:sdtPr>
    <w:sdtEndPr/>
    <w:sdtContent>
      <w:p w:rsidR="002251EA" w:rsidRDefault="002251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9F" w:rsidRPr="00E4639F">
          <w:rPr>
            <w:noProof/>
            <w:lang w:val="uk-UA"/>
          </w:rPr>
          <w:t>4</w:t>
        </w:r>
        <w:r>
          <w:fldChar w:fldCharType="end"/>
        </w:r>
      </w:p>
    </w:sdtContent>
  </w:sdt>
  <w:p w:rsidR="002251EA" w:rsidRDefault="002251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D64"/>
    <w:multiLevelType w:val="hybridMultilevel"/>
    <w:tmpl w:val="EC680BD2"/>
    <w:lvl w:ilvl="0" w:tplc="EE20D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7E1"/>
    <w:multiLevelType w:val="hybridMultilevel"/>
    <w:tmpl w:val="6778C92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99B"/>
    <w:multiLevelType w:val="hybridMultilevel"/>
    <w:tmpl w:val="8EB2EB18"/>
    <w:lvl w:ilvl="0" w:tplc="866423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8AA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1C3"/>
    <w:multiLevelType w:val="hybridMultilevel"/>
    <w:tmpl w:val="EC12017E"/>
    <w:lvl w:ilvl="0" w:tplc="9698CA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635742A"/>
    <w:multiLevelType w:val="hybridMultilevel"/>
    <w:tmpl w:val="A8B0F868"/>
    <w:lvl w:ilvl="0" w:tplc="866423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34ED"/>
    <w:multiLevelType w:val="multilevel"/>
    <w:tmpl w:val="572E34ED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4183C"/>
    <w:multiLevelType w:val="hybridMultilevel"/>
    <w:tmpl w:val="3E4074E6"/>
    <w:lvl w:ilvl="0" w:tplc="AEAEDD5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6465546"/>
    <w:multiLevelType w:val="hybridMultilevel"/>
    <w:tmpl w:val="874252BE"/>
    <w:lvl w:ilvl="0" w:tplc="E80813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5176EB"/>
    <w:multiLevelType w:val="hybridMultilevel"/>
    <w:tmpl w:val="B816CC54"/>
    <w:lvl w:ilvl="0" w:tplc="E536FFCC">
      <w:start w:val="1"/>
      <w:numFmt w:val="decimal"/>
      <w:lvlText w:val="%1."/>
      <w:lvlJc w:val="left"/>
      <w:pPr>
        <w:ind w:left="1305" w:hanging="60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0B3177"/>
    <w:multiLevelType w:val="multilevel"/>
    <w:tmpl w:val="770B31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040D8"/>
    <w:multiLevelType w:val="hybridMultilevel"/>
    <w:tmpl w:val="C45C90F2"/>
    <w:lvl w:ilvl="0" w:tplc="5C84B93C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1F7AD1"/>
    <w:multiLevelType w:val="hybridMultilevel"/>
    <w:tmpl w:val="48C4FB3C"/>
    <w:lvl w:ilvl="0" w:tplc="6CA8E4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74D"/>
    <w:rsid w:val="000476B3"/>
    <w:rsid w:val="000A1355"/>
    <w:rsid w:val="000B5EFB"/>
    <w:rsid w:val="00104334"/>
    <w:rsid w:val="00123482"/>
    <w:rsid w:val="00134EC8"/>
    <w:rsid w:val="00177D78"/>
    <w:rsid w:val="00197015"/>
    <w:rsid w:val="001C7099"/>
    <w:rsid w:val="002251EA"/>
    <w:rsid w:val="002753A8"/>
    <w:rsid w:val="002B163D"/>
    <w:rsid w:val="002C47A7"/>
    <w:rsid w:val="002D1359"/>
    <w:rsid w:val="00317664"/>
    <w:rsid w:val="0035274D"/>
    <w:rsid w:val="0036277E"/>
    <w:rsid w:val="003C414D"/>
    <w:rsid w:val="003C6002"/>
    <w:rsid w:val="003F4F20"/>
    <w:rsid w:val="00454C7E"/>
    <w:rsid w:val="004A28E0"/>
    <w:rsid w:val="004B1550"/>
    <w:rsid w:val="004B2E37"/>
    <w:rsid w:val="004E1567"/>
    <w:rsid w:val="004E2D54"/>
    <w:rsid w:val="00575439"/>
    <w:rsid w:val="005911FD"/>
    <w:rsid w:val="005B18CB"/>
    <w:rsid w:val="00616C9B"/>
    <w:rsid w:val="00644CB2"/>
    <w:rsid w:val="00656ABE"/>
    <w:rsid w:val="006B2F1F"/>
    <w:rsid w:val="006B4D6B"/>
    <w:rsid w:val="006C1152"/>
    <w:rsid w:val="00741418"/>
    <w:rsid w:val="007A1B39"/>
    <w:rsid w:val="007A7390"/>
    <w:rsid w:val="007B3EA1"/>
    <w:rsid w:val="007D7D90"/>
    <w:rsid w:val="007E79D6"/>
    <w:rsid w:val="00815584"/>
    <w:rsid w:val="00823B3C"/>
    <w:rsid w:val="00833714"/>
    <w:rsid w:val="008F4743"/>
    <w:rsid w:val="008F5C55"/>
    <w:rsid w:val="009409EC"/>
    <w:rsid w:val="0094528E"/>
    <w:rsid w:val="00957920"/>
    <w:rsid w:val="009D3BDC"/>
    <w:rsid w:val="00A039E9"/>
    <w:rsid w:val="00A2312F"/>
    <w:rsid w:val="00A30AC9"/>
    <w:rsid w:val="00A34B97"/>
    <w:rsid w:val="00AC4A7B"/>
    <w:rsid w:val="00B46A01"/>
    <w:rsid w:val="00BC2DC7"/>
    <w:rsid w:val="00BE4F5B"/>
    <w:rsid w:val="00CC148B"/>
    <w:rsid w:val="00CF7843"/>
    <w:rsid w:val="00D02105"/>
    <w:rsid w:val="00D842FD"/>
    <w:rsid w:val="00DA1FCB"/>
    <w:rsid w:val="00E217AA"/>
    <w:rsid w:val="00E4639F"/>
    <w:rsid w:val="00E75319"/>
    <w:rsid w:val="00E835E2"/>
    <w:rsid w:val="00EE295E"/>
    <w:rsid w:val="00EE6BAA"/>
    <w:rsid w:val="00F25AF2"/>
    <w:rsid w:val="00F372BE"/>
    <w:rsid w:val="00F3780D"/>
    <w:rsid w:val="00F60265"/>
    <w:rsid w:val="00F67673"/>
    <w:rsid w:val="00F81018"/>
    <w:rsid w:val="00FD2F30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C709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7099"/>
    <w:rPr>
      <w:rFonts w:ascii="Segoe U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2251E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251EA"/>
    <w:rPr>
      <w:lang w:val="ru-RU"/>
    </w:rPr>
  </w:style>
  <w:style w:type="paragraph" w:styleId="ac">
    <w:name w:val="footer"/>
    <w:basedOn w:val="a"/>
    <w:link w:val="ad"/>
    <w:uiPriority w:val="99"/>
    <w:unhideWhenUsed/>
    <w:rsid w:val="002251E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251E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83DE-11E4-4F7E-A2D3-F775D8A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4691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2023-04-07T10:02:00Z</cp:lastPrinted>
  <dcterms:created xsi:type="dcterms:W3CDTF">2022-12-12T07:08:00Z</dcterms:created>
  <dcterms:modified xsi:type="dcterms:W3CDTF">2023-09-28T07:11:00Z</dcterms:modified>
</cp:coreProperties>
</file>