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F3DC" w14:textId="77777777" w:rsidR="00472B98" w:rsidRPr="00472B98" w:rsidRDefault="00472B98" w:rsidP="00472B9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</w:p>
    <w:p w14:paraId="62BCE85B" w14:textId="77777777" w:rsidR="00472B98" w:rsidRPr="00472B98" w:rsidRDefault="00472B98" w:rsidP="00472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ar-SA"/>
        </w:rPr>
      </w:pPr>
      <w:r w:rsidRPr="00472B98">
        <w:rPr>
          <w:rFonts w:ascii="Times New Roman" w:eastAsia="SimSun" w:hAnsi="Times New Roman" w:cs="Times New Roman"/>
          <w:b/>
          <w:spacing w:val="20"/>
          <w:sz w:val="32"/>
          <w:szCs w:val="32"/>
          <w:lang w:eastAsia="ar-SA"/>
        </w:rPr>
        <w:t>РІШЕННЯ</w:t>
      </w:r>
    </w:p>
    <w:p w14:paraId="042AD60F" w14:textId="77777777" w:rsidR="00472B98" w:rsidRPr="00472B98" w:rsidRDefault="00472B98" w:rsidP="00472B9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14:paraId="7A62BF9C" w14:textId="4CEEBE97" w:rsidR="00472B98" w:rsidRPr="00472B98" w:rsidRDefault="00472B98" w:rsidP="00472B9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bookmarkStart w:id="1" w:name="_Hlk169525985"/>
      <w:r w:rsidRPr="00472B98">
        <w:rPr>
          <w:rFonts w:ascii="Times New Roman" w:eastAsia="Calibri" w:hAnsi="Times New Roman" w:cs="Times New Roman"/>
          <w:sz w:val="28"/>
        </w:rPr>
        <w:t xml:space="preserve">Від 16.12.2024 </w:t>
      </w:r>
      <w:r w:rsidRPr="00472B98">
        <w:rPr>
          <w:rFonts w:ascii="Times New Roman" w:eastAsia="Calibri" w:hAnsi="Times New Roman" w:cs="Times New Roman"/>
          <w:b/>
          <w:sz w:val="28"/>
        </w:rPr>
        <w:t>№ 30</w:t>
      </w:r>
      <w:r>
        <w:rPr>
          <w:rFonts w:ascii="Times New Roman" w:eastAsia="Calibri" w:hAnsi="Times New Roman" w:cs="Times New Roman"/>
          <w:b/>
          <w:sz w:val="28"/>
        </w:rPr>
        <w:t>2</w:t>
      </w:r>
      <w:r w:rsidRPr="00472B98">
        <w:rPr>
          <w:rFonts w:ascii="Times New Roman" w:eastAsia="Calibri" w:hAnsi="Times New Roman" w:cs="Times New Roman"/>
          <w:b/>
          <w:sz w:val="28"/>
        </w:rPr>
        <w:t>1-50/2024</w:t>
      </w:r>
    </w:p>
    <w:bookmarkEnd w:id="1"/>
    <w:p w14:paraId="395DAC6C" w14:textId="77777777" w:rsidR="00472B98" w:rsidRPr="00472B98" w:rsidRDefault="00472B98" w:rsidP="00472B9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B98">
        <w:rPr>
          <w:rFonts w:ascii="Times New Roman" w:eastAsia="Calibri" w:hAnsi="Times New Roman" w:cs="Times New Roman"/>
          <w:sz w:val="28"/>
          <w:szCs w:val="28"/>
        </w:rPr>
        <w:t>м. Долина</w:t>
      </w:r>
    </w:p>
    <w:p w14:paraId="2C509001" w14:textId="77777777" w:rsidR="00A32DC1" w:rsidRPr="00712BE1" w:rsidRDefault="00A32DC1" w:rsidP="00712BE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EE4687" w14:textId="77777777" w:rsidR="00530FB9" w:rsidRPr="00712BE1" w:rsidRDefault="00530FB9" w:rsidP="00712BE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Про програму «Екологічні </w:t>
      </w:r>
    </w:p>
    <w:p w14:paraId="4F3E9E09" w14:textId="4F366F16" w:rsidR="00A32DC1" w:rsidRPr="00712BE1" w:rsidRDefault="004255C9" w:rsidP="00712BE1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заходи на 2025-2027</w:t>
      </w:r>
      <w:r w:rsidR="00530FB9" w:rsidRPr="00712BE1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роки»</w:t>
      </w:r>
    </w:p>
    <w:p w14:paraId="1F8F9093" w14:textId="77777777" w:rsidR="00530FB9" w:rsidRPr="00712BE1" w:rsidRDefault="00530FB9" w:rsidP="00712BE1">
      <w:pPr>
        <w:spacing w:after="0" w:line="240" w:lineRule="auto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eastAsia="zh-CN" w:bidi="hi-IN"/>
        </w:rPr>
      </w:pPr>
    </w:p>
    <w:p w14:paraId="304198BC" w14:textId="06201B0F" w:rsidR="00A32DC1" w:rsidRPr="00712BE1" w:rsidRDefault="00A32DC1" w:rsidP="0071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30FB9" w:rsidRPr="00712BE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Заслухавши інформацію про про</w:t>
      </w:r>
      <w:r w:rsidR="009E131F" w:rsidRPr="00712BE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граму «Екологічні заходи на 2025-2027</w:t>
      </w:r>
      <w:r w:rsidR="00530FB9" w:rsidRPr="00712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роки» та керуючись ст.26 Законом України «Про місцеве самоврядування в Україні», міська рада</w:t>
      </w:r>
    </w:p>
    <w:p w14:paraId="5F8D397D" w14:textId="77777777" w:rsidR="00A32DC1" w:rsidRPr="00712BE1" w:rsidRDefault="00A32DC1" w:rsidP="00712BE1">
      <w:pPr>
        <w:spacing w:after="0" w:line="240" w:lineRule="auto"/>
        <w:ind w:firstLine="709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</w:p>
    <w:p w14:paraId="47E35E68" w14:textId="77777777" w:rsidR="00A32DC1" w:rsidRPr="00712BE1" w:rsidRDefault="00A32DC1" w:rsidP="00712BE1">
      <w:pPr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eastAsia="zh-CN" w:bidi="hi-IN"/>
        </w:rPr>
      </w:pPr>
      <w:r w:rsidRPr="00712BE1">
        <w:rPr>
          <w:rFonts w:ascii="Times New Roman" w:eastAsia="Noto Sans CJK SC" w:hAnsi="Times New Roman" w:cs="Times New Roman"/>
          <w:b/>
          <w:kern w:val="2"/>
          <w:sz w:val="28"/>
          <w:szCs w:val="28"/>
          <w:lang w:eastAsia="zh-CN" w:bidi="hi-IN"/>
        </w:rPr>
        <w:t>В И Р І Ш И Л А:</w:t>
      </w:r>
    </w:p>
    <w:p w14:paraId="78A98821" w14:textId="77777777" w:rsidR="00A32DC1" w:rsidRPr="00712BE1" w:rsidRDefault="00A32DC1" w:rsidP="00712BE1">
      <w:pPr>
        <w:spacing w:after="0" w:line="240" w:lineRule="auto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eastAsia="zh-CN" w:bidi="hi-IN"/>
        </w:rPr>
      </w:pPr>
    </w:p>
    <w:p w14:paraId="1AD85DB7" w14:textId="0495EBDB" w:rsidR="00A32DC1" w:rsidRPr="001C64CB" w:rsidRDefault="00530FB9" w:rsidP="001C64CB">
      <w:pPr>
        <w:widowControl w:val="0"/>
        <w:suppressAutoHyphens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про</w:t>
      </w:r>
      <w:r w:rsidR="004255C9" w:rsidRP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граму «Екологічні заходи на 2025-2027</w:t>
      </w:r>
      <w:r w:rsidRP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роки» </w:t>
      </w:r>
      <w:r w:rsidR="00A32DC1" w:rsidRP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FDCA3" w14:textId="77777777" w:rsidR="001C64CB" w:rsidRPr="001C64CB" w:rsidRDefault="001C64CB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</w:p>
    <w:p w14:paraId="798FF58A" w14:textId="11D46FBD" w:rsidR="00A32DC1" w:rsidRPr="001C64CB" w:rsidRDefault="00A32DC1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1C64C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2. </w:t>
      </w:r>
      <w:r w:rsidR="00530FB9" w:rsidRPr="001C64C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Долинському комунальному підприємству «Комунгосп» забезпечити виконання заходів Програми.</w:t>
      </w:r>
    </w:p>
    <w:p w14:paraId="3655ABE2" w14:textId="77777777" w:rsidR="001C64CB" w:rsidRPr="001C64CB" w:rsidRDefault="001C64CB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1D1D1B"/>
          <w:sz w:val="16"/>
          <w:szCs w:val="16"/>
          <w:lang w:eastAsia="uk-UA"/>
        </w:rPr>
      </w:pPr>
    </w:p>
    <w:p w14:paraId="0EA63F52" w14:textId="77777777" w:rsidR="00706CB6" w:rsidRPr="001C64CB" w:rsidRDefault="00706CB6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1C64C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3. 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0685E610" w14:textId="77777777" w:rsidR="001C64CB" w:rsidRPr="001C64CB" w:rsidRDefault="001C64CB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1D1D1B"/>
          <w:sz w:val="16"/>
          <w:szCs w:val="16"/>
          <w:lang w:eastAsia="uk-UA"/>
        </w:rPr>
      </w:pPr>
    </w:p>
    <w:p w14:paraId="1AD7D76D" w14:textId="77777777" w:rsidR="00706CB6" w:rsidRPr="001C64CB" w:rsidRDefault="00706CB6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1C64C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4. Фінансовому управлінню міської ради враховувати в межах  можливостей дохідної частини бюджету громади потребу у видатках на здійснення заходів з реалізації Програми.</w:t>
      </w:r>
    </w:p>
    <w:p w14:paraId="59D79B73" w14:textId="77777777" w:rsidR="001C64CB" w:rsidRPr="001C64CB" w:rsidRDefault="001C64CB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1D1D1B"/>
          <w:sz w:val="16"/>
          <w:szCs w:val="16"/>
          <w:lang w:eastAsia="uk-UA"/>
        </w:rPr>
      </w:pPr>
    </w:p>
    <w:p w14:paraId="657031A2" w14:textId="709402A0" w:rsidR="00706CB6" w:rsidRPr="001C64CB" w:rsidRDefault="00706CB6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1C64C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5. Інформацію про виконання  Програми заслуховувати щорічно на сесії міської ради в І кварталі</w:t>
      </w:r>
      <w:r w:rsidR="001C64C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,</w:t>
      </w:r>
      <w:r w:rsidRPr="001C64CB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починаючи з 2026 року.</w:t>
      </w:r>
    </w:p>
    <w:p w14:paraId="3F7367FD" w14:textId="77777777" w:rsidR="001C64CB" w:rsidRPr="001C64CB" w:rsidRDefault="001C64CB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</w:p>
    <w:p w14:paraId="0CC63BA5" w14:textId="380AE14C" w:rsidR="00A32DC1" w:rsidRPr="001C64CB" w:rsidRDefault="00A32DC1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</w:pPr>
      <w:r w:rsidRPr="001C64C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6. </w:t>
      </w:r>
      <w:r w:rsidR="00530FB9" w:rsidRPr="001C64C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Контроль за виконанням даного рішення покласти на </w:t>
      </w:r>
      <w:r w:rsidR="001C64C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заступника міського голови Пастуха І.І. та </w:t>
      </w:r>
      <w:r w:rsidR="00530FB9" w:rsidRPr="001C64C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постійну </w:t>
      </w:r>
      <w:r w:rsidR="001C64CB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майна та власності, житлово-комунального господарства та благоустрою</w:t>
      </w:r>
      <w:r w:rsidRPr="001C64CB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.</w:t>
      </w:r>
    </w:p>
    <w:p w14:paraId="2BEAD440" w14:textId="77777777" w:rsidR="00A32DC1" w:rsidRPr="001C64CB" w:rsidRDefault="00A32DC1" w:rsidP="001C64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</w:pPr>
    </w:p>
    <w:p w14:paraId="709731E3" w14:textId="77777777" w:rsidR="00530FB9" w:rsidRPr="001C64CB" w:rsidRDefault="00530FB9" w:rsidP="00712B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</w:pPr>
    </w:p>
    <w:p w14:paraId="7361D410" w14:textId="77777777" w:rsidR="00530FB9" w:rsidRPr="001C64CB" w:rsidRDefault="00530FB9" w:rsidP="00712B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</w:pPr>
    </w:p>
    <w:p w14:paraId="457ED514" w14:textId="1471E612" w:rsidR="00712BE1" w:rsidRPr="001C64CB" w:rsidRDefault="00A32DC1" w:rsidP="00712B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12BE1" w:rsidRPr="001C64CB" w:rsidSect="00DF4E66">
          <w:headerReference w:type="default" r:id="rId8"/>
          <w:headerReference w:type="firs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1C64CB">
        <w:rPr>
          <w:rFonts w:ascii="Times New Roman" w:eastAsia="Calibri" w:hAnsi="Times New Roman" w:cs="Times New Roman"/>
          <w:sz w:val="28"/>
          <w:szCs w:val="28"/>
        </w:rPr>
        <w:t>Міський голова                                                                              Іван ДИРІВ</w:t>
      </w:r>
    </w:p>
    <w:p w14:paraId="0823119A" w14:textId="77777777" w:rsidR="00A32DC1" w:rsidRPr="00712BE1" w:rsidRDefault="00A32DC1" w:rsidP="00712BE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ЗАТВЕРДЖЕНО</w:t>
      </w:r>
    </w:p>
    <w:p w14:paraId="44670654" w14:textId="77777777" w:rsidR="00A32DC1" w:rsidRPr="00712BE1" w:rsidRDefault="00A32DC1" w:rsidP="00712BE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рішення міської ради</w:t>
      </w:r>
    </w:p>
    <w:p w14:paraId="3F6AA5FF" w14:textId="2F34DEFD" w:rsidR="00A32DC1" w:rsidRPr="00712BE1" w:rsidRDefault="00A32DC1" w:rsidP="00712BE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від </w:t>
      </w:r>
      <w:r w:rsidR="00472B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16.12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.2024  </w:t>
      </w:r>
      <w:r w:rsidRPr="00712BE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№ </w:t>
      </w:r>
      <w:r w:rsidR="00472B9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3021</w:t>
      </w:r>
      <w:r w:rsidRPr="00712BE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-</w:t>
      </w:r>
      <w:r w:rsidR="00472B9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50</w:t>
      </w:r>
      <w:r w:rsidRPr="00712BE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/2024</w:t>
      </w:r>
    </w:p>
    <w:p w14:paraId="6618D568" w14:textId="77777777" w:rsidR="009A5321" w:rsidRPr="00712BE1" w:rsidRDefault="009A5321" w:rsidP="00712BE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1BFDCE8" w14:textId="77777777" w:rsidR="009A5321" w:rsidRPr="00712BE1" w:rsidRDefault="009A5321" w:rsidP="00712BE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5479206" w14:textId="77777777" w:rsidR="009A5321" w:rsidRPr="00712BE1" w:rsidRDefault="009A5321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ПРОГРАМА</w:t>
      </w:r>
    </w:p>
    <w:p w14:paraId="45B9B8DC" w14:textId="39986D72" w:rsidR="009A5321" w:rsidRPr="00712BE1" w:rsidRDefault="009A5321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«Екологічні заходи на 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 »</w:t>
      </w:r>
    </w:p>
    <w:p w14:paraId="6C9822D6" w14:textId="77777777" w:rsidR="009A5321" w:rsidRPr="00712BE1" w:rsidRDefault="009A5321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99A505" w14:textId="77777777" w:rsidR="009A5321" w:rsidRPr="00712BE1" w:rsidRDefault="009A5321" w:rsidP="00712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12B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12BE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ПАСПОРТ</w:t>
      </w:r>
      <w:r w:rsidRPr="00712B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502" w:type="dxa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690"/>
        <w:gridCol w:w="5387"/>
      </w:tblGrid>
      <w:tr w:rsidR="009A5321" w:rsidRPr="00712BE1" w14:paraId="3819EE69" w14:textId="77777777" w:rsidTr="00D368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9806B" w14:textId="25FB199D" w:rsidR="009A5321" w:rsidRPr="00712BE1" w:rsidRDefault="009A5321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5776B1" w14:textId="7DE5AC0F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1215E" w14:textId="6B53836C" w:rsidR="009A5321" w:rsidRPr="00712BE1" w:rsidRDefault="00706CB6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Долинська міська рада</w:t>
            </w:r>
          </w:p>
        </w:tc>
      </w:tr>
      <w:tr w:rsidR="00EE4BF4" w:rsidRPr="00712BE1" w14:paraId="2B1E533E" w14:textId="77777777" w:rsidTr="00D368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02CB6" w14:textId="456C4957" w:rsidR="00EE4BF4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10258C" w14:textId="6CC5E6F0" w:rsidR="00EE4BF4" w:rsidRPr="00712BE1" w:rsidRDefault="00EE4BF4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Розпорядчі документи про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7D471F" w14:textId="6F53DE38" w:rsidR="00EE4BF4" w:rsidRPr="00712BE1" w:rsidRDefault="00EE4BF4" w:rsidP="00712BE1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 України «Про місцеве самоврядування», Постанова КМУ  №1147   «</w:t>
            </w:r>
            <w:r w:rsidRPr="00712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 затвердження переліку видів діяльності, що належать до природоохоронних заходів»</w:t>
            </w:r>
          </w:p>
        </w:tc>
      </w:tr>
      <w:tr w:rsidR="009A5321" w:rsidRPr="00712BE1" w14:paraId="2FE89056" w14:textId="77777777" w:rsidTr="00D368D5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C1520" w14:textId="03052654" w:rsidR="009A5321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34470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057865" w14:textId="5913A250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благоустрою та інфраструктури Долинської міської ради</w:t>
            </w:r>
          </w:p>
        </w:tc>
      </w:tr>
      <w:tr w:rsidR="009A5321" w:rsidRPr="00712BE1" w14:paraId="72C92D11" w14:textId="77777777" w:rsidTr="00D368D5">
        <w:trPr>
          <w:trHeight w:val="1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5FE53" w14:textId="6EB7BE67" w:rsidR="009A5321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2A69C8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8D6E8" w14:textId="7633BFE2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 «Комунгосп» Долинської міської ради</w:t>
            </w:r>
          </w:p>
        </w:tc>
      </w:tr>
      <w:tr w:rsidR="009A5321" w:rsidRPr="00712BE1" w14:paraId="06C0BDF3" w14:textId="77777777" w:rsidTr="00D368D5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2CB25" w14:textId="04EA6199" w:rsidR="009A5321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C81D3C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9F4FAE" w14:textId="156712C2" w:rsidR="009A5321" w:rsidRPr="00712BE1" w:rsidRDefault="00706CB6" w:rsidP="00712BE1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 «Комунгосп» Долинської міської ради, Управління благоустрою та інфраструктури Долинської міської ради</w:t>
            </w:r>
          </w:p>
        </w:tc>
      </w:tr>
      <w:tr w:rsidR="009A5321" w:rsidRPr="00712BE1" w14:paraId="38CBE08B" w14:textId="77777777" w:rsidTr="00D368D5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43D0CC" w14:textId="081E385B" w:rsidR="009A5321" w:rsidRPr="00712BE1" w:rsidRDefault="00ED522C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ADDA74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284C3" w14:textId="652A7F07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35D6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3A35D6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рр.</w:t>
            </w:r>
          </w:p>
        </w:tc>
      </w:tr>
      <w:tr w:rsidR="009A5321" w:rsidRPr="00712BE1" w14:paraId="6489996F" w14:textId="77777777" w:rsidTr="00D368D5">
        <w:trPr>
          <w:trHeight w:val="1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71F4B7" w14:textId="2DFFE907" w:rsidR="009A5321" w:rsidRPr="00712BE1" w:rsidRDefault="00ED522C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5B725" w14:textId="270EF930" w:rsidR="009A5321" w:rsidRPr="00712BE1" w:rsidRDefault="00610802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</w:t>
            </w:r>
            <w:r w:rsidR="00EE4BF4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еруть участь  у виконанні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FD5CA" w14:textId="03185F7B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Долинської територіальної громади</w:t>
            </w:r>
          </w:p>
        </w:tc>
      </w:tr>
      <w:tr w:rsidR="00610802" w:rsidRPr="00712BE1" w14:paraId="2AD0DAEF" w14:textId="77777777" w:rsidTr="00D368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B14A82" w14:textId="4D9B7E92" w:rsidR="00610802" w:rsidRPr="00712BE1" w:rsidRDefault="007E1534" w:rsidP="00D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87534926"/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3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FD95FF" w14:textId="7D6624F5" w:rsidR="00610802" w:rsidRPr="00712BE1" w:rsidRDefault="00610802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957A15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рограми,</w:t>
            </w:r>
          </w:p>
          <w:p w14:paraId="61BA1BFE" w14:textId="568D4354" w:rsidR="00610802" w:rsidRPr="00712BE1" w:rsidRDefault="00610802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  <w:p w14:paraId="40842622" w14:textId="4FD216AA" w:rsidR="00610802" w:rsidRPr="00712BE1" w:rsidRDefault="00610802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кошти бюджету</w:t>
            </w:r>
            <w:r w:rsidR="00706CB6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громади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DC6E9" w14:textId="77777777" w:rsidR="00CB2244" w:rsidRPr="00712BE1" w:rsidRDefault="00CB2244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35F75" w14:textId="77777777" w:rsidR="00D944C2" w:rsidRPr="00712BE1" w:rsidRDefault="00D944C2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9DB28B" w14:textId="77777777" w:rsidR="00D368D5" w:rsidRDefault="00D368D5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7B614" w14:textId="2396BB4A" w:rsidR="00A32DC1" w:rsidRPr="00D368D5" w:rsidRDefault="00E564D9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87 024 133,00</w:t>
            </w:r>
            <w:r w:rsidR="00D368D5"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2DC1"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</w:p>
          <w:p w14:paraId="52D72AEE" w14:textId="77777777" w:rsidR="00D368D5" w:rsidRDefault="00D368D5" w:rsidP="00712BE1">
            <w:pPr>
              <w:tabs>
                <w:tab w:val="left" w:pos="2115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EE37F" w14:textId="327A0850" w:rsidR="00CB2244" w:rsidRPr="00D368D5" w:rsidRDefault="00A32DC1" w:rsidP="00712BE1">
            <w:pPr>
              <w:tabs>
                <w:tab w:val="left" w:pos="2115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3 110 000,00 грн</w:t>
            </w:r>
          </w:p>
        </w:tc>
      </w:tr>
      <w:bookmarkEnd w:id="2"/>
    </w:tbl>
    <w:p w14:paraId="6F7F513E" w14:textId="77777777" w:rsidR="00712BE1" w:rsidRPr="00712BE1" w:rsidRDefault="00712BE1" w:rsidP="0071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712BE1" w:rsidRPr="00712BE1" w:rsidSect="002A0E0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291475B0" w14:textId="77777777" w:rsidR="00784EA4" w:rsidRPr="00712BE1" w:rsidRDefault="00784EA4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ПРОГРАМА</w:t>
      </w:r>
    </w:p>
    <w:p w14:paraId="10F3A7AC" w14:textId="40AF9B12" w:rsidR="00784EA4" w:rsidRPr="00712BE1" w:rsidRDefault="00EA1739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«Екологічні заходи на 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D944C2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</w:t>
      </w:r>
      <w:r w:rsidR="00784EA4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6E7436F1" w14:textId="77777777" w:rsidR="00784EA4" w:rsidRPr="00712BE1" w:rsidRDefault="00784EA4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6CA3FF" w14:textId="65041992" w:rsidR="00784EA4" w:rsidRPr="00712BE1" w:rsidRDefault="00784EA4" w:rsidP="00712BE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51A514E2" w14:textId="2926A9C6" w:rsidR="00784EA4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Екологічний стан </w:t>
      </w:r>
      <w:r w:rsidR="00957A15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території Долинської територіальної громади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багато в чому залежить від ефективного поводження із твердими побутовими відходами. Збором, перевезенням та захороненням твердого побутового сміття займається КП «Комунгосп». Для збору сміття </w:t>
      </w:r>
      <w:r w:rsidR="00372BDB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r w:rsidR="00D34D41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</w:t>
      </w:r>
      <w:r w:rsidR="00372BDB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D34D41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2BDB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вулицях, автобусних зупинках, місцях відпочинку громадян встановлено  2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бетонних урн. На сміттєвих площадках встановлено 4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452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контейнерів.</w:t>
      </w:r>
    </w:p>
    <w:p w14:paraId="53F89897" w14:textId="013F9279" w:rsidR="00372BDB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Проте,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доступ,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площадок,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яких встановлені контейнери для збору сміття, в більшості випадків є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таким, що потребує покращення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частина сміттєвих контейнерів вичерпали свій експлуатаційний ресурс, тому необхідно поновити частину контейнерів (Таблиця 1).</w:t>
      </w:r>
    </w:p>
    <w:p w14:paraId="23790EC7" w14:textId="77777777" w:rsidR="00F95D0C" w:rsidRPr="00712BE1" w:rsidRDefault="00F95D0C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FE9A51" w14:textId="03174EAB" w:rsidR="00372BDB" w:rsidRPr="00712BE1" w:rsidRDefault="00784EA4" w:rsidP="00712BE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Програми</w:t>
      </w:r>
    </w:p>
    <w:p w14:paraId="571C53E5" w14:textId="5B549E8C" w:rsidR="00372BDB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Програми – покращити якість екологічної ситуації в </w:t>
      </w:r>
      <w:r w:rsidR="00F8732E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Долинській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ТГ через розширення та вдосконалення мережі збору побутового сміття.</w:t>
      </w:r>
      <w:r w:rsidR="001F237F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8827AC8" w14:textId="77777777" w:rsidR="00F95D0C" w:rsidRPr="00712BE1" w:rsidRDefault="00F95D0C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FCC43C" w14:textId="208C3F72" w:rsidR="00372BDB" w:rsidRPr="00712BE1" w:rsidRDefault="00784EA4" w:rsidP="00712BE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Фінансування Програми</w:t>
      </w:r>
    </w:p>
    <w:p w14:paraId="7700F48E" w14:textId="0F4BE2A8" w:rsidR="009F61EF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Фінансування заходів Програми (Таблиця 1) здійснюється за рахунок </w:t>
      </w:r>
      <w:r w:rsidR="00D944C2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надходжень екологічного податку і зборів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бюджет</w:t>
      </w:r>
      <w:r w:rsidR="00F8732E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</w:t>
      </w:r>
      <w:r w:rsidR="00D34D41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. Окрім цього, передбачається участь у співфінансуванні важливих для громади екологічних проектах</w:t>
      </w:r>
      <w:r w:rsidR="00BD67E3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10 % від загальної вартості будівництва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(Таблиця 2).</w:t>
      </w:r>
    </w:p>
    <w:p w14:paraId="4BB76B3F" w14:textId="77777777" w:rsidR="00530FB9" w:rsidRPr="00712BE1" w:rsidRDefault="00530FB9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A82F58" w14:textId="34F96530" w:rsidR="00530FB9" w:rsidRPr="00712BE1" w:rsidRDefault="00047086" w:rsidP="00712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0FB9"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FB9"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ШЛЯХИ І ЗАСОБИ РОЗВ’ЯЗАННЯ ПРОБЛЕМ</w:t>
      </w:r>
    </w:p>
    <w:p w14:paraId="7461CBCF" w14:textId="231685FC" w:rsidR="00530FB9" w:rsidRPr="00712BE1" w:rsidRDefault="00530FB9" w:rsidP="00712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Екологічна ситуація на території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характеризується відносною стабільністю показників, однак багато проблем потребують вирішення:</w:t>
      </w:r>
    </w:p>
    <w:p w14:paraId="66D4B411" w14:textId="16315DCC" w:rsidR="00530FB9" w:rsidRPr="00712BE1" w:rsidRDefault="00530FB9" w:rsidP="001C6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Несанкціоноване розміщення твердих побутових відходів населення є суттєвим чинником негативного впливу на земельні, водні та лісові ресурси громади і здоров’я людей.</w:t>
      </w:r>
    </w:p>
    <w:p w14:paraId="090CD15D" w14:textId="77777777" w:rsidR="00530FB9" w:rsidRPr="00712BE1" w:rsidRDefault="00530FB9" w:rsidP="00712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 побутового сміття в лісозахисних смугах вподовж автомобільних доріг, в лісонасадженнях, в зоні житлової забудови - є одним з потенційних джерел забруднення довкілля і являють собою велику загрозу навколишньому природному середовищу та підлягають утилізації. Тому, одним з пріоритетних питань захисту навколишнього природного середовища території громади є охоплення максимальної кількості населення послугами по вивозу відходів та локалізація стихійних звалищ. Зростанню кількості ТПВ сприяють товари одноразового використання; товари народного споживання з короткочасним терміном служби людині, які ми купуємо, споживаємо та викидаємо не дивлячись на їх залишкову вартість.</w:t>
      </w:r>
    </w:p>
    <w:p w14:paraId="4BC88073" w14:textId="52C39E0D" w:rsidR="00530FB9" w:rsidRPr="00712BE1" w:rsidRDefault="00530FB9" w:rsidP="00712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розробити «Схеми санітарного очищення території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 та системи роздільного збирання ТПВ. Пріоритетом у поводженні з відходами має стати діяльність, спрямована на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зменшення утворення відходів, роздільне збирання твердих побутових відходів і залучення відходів у процеси виробництва як ресурсів сировини та енергії. Важливим завданням є будівництво полігону твердих побутових відходів, а також залучення інвесторів для будівництва сортувальної (переробної) лінії ТПВ.</w:t>
      </w:r>
    </w:p>
    <w:p w14:paraId="4F12480F" w14:textId="2DFDEB15" w:rsidR="00530FB9" w:rsidRPr="00712BE1" w:rsidRDefault="00047086" w:rsidP="0071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30FB9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ЗАВДАННЯ ПРОГРАМИ</w:t>
      </w:r>
    </w:p>
    <w:p w14:paraId="7C75C6E7" w14:textId="0FE2FFAF" w:rsidR="00530FB9" w:rsidRPr="00712BE1" w:rsidRDefault="00530FB9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Враховуючи реальний стан довкілля, який сформувався на території </w:t>
      </w:r>
      <w:r w:rsidR="00047086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громади, основними завданнями по охороні навколишнього природного середовища та пріоритетними напрямками екологічної політики </w:t>
      </w:r>
      <w:r w:rsidR="00047086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 є:</w:t>
      </w:r>
    </w:p>
    <w:p w14:paraId="3CCE844E" w14:textId="4CF96B83" w:rsidR="00530FB9" w:rsidRPr="00712BE1" w:rsidRDefault="00530FB9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допускати запалювання відходів на полігоні складування твердих побутових відходів та спалювання сміття в межах населених пунктів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громади;</w:t>
      </w:r>
    </w:p>
    <w:p w14:paraId="1D9820FB" w14:textId="2A28201B" w:rsidR="00530FB9" w:rsidRPr="00712BE1" w:rsidRDefault="00047086" w:rsidP="00712B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хорона і раціональне використання природних рослинних ресурсів. </w:t>
      </w:r>
    </w:p>
    <w:p w14:paraId="619D66B6" w14:textId="4FE49F9C" w:rsidR="00530FB9" w:rsidRPr="00712BE1" w:rsidRDefault="00047086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0FB9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меншення впливу промислових та побутових відходів на довкілля;</w:t>
      </w:r>
    </w:p>
    <w:p w14:paraId="6E7A3080" w14:textId="5AA66C42" w:rsidR="00530FB9" w:rsidRPr="00712BE1" w:rsidRDefault="00047086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46D4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озвиток сфери поводження з твердими побутовими відходами, вирішення комплексу проблем пов’язаних із їх вивезенням та утилізацією. </w:t>
      </w:r>
    </w:p>
    <w:p w14:paraId="7C86B4B2" w14:textId="77777777" w:rsidR="00D746D4" w:rsidRPr="00712BE1" w:rsidRDefault="00047086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огляд за зеленим насадженням. </w:t>
      </w:r>
    </w:p>
    <w:p w14:paraId="7FD59384" w14:textId="5DC1A942" w:rsidR="00530FB9" w:rsidRPr="00712BE1" w:rsidRDefault="00D746D4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47086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акупка та встановлення урн та контейнерів для сміття.</w:t>
      </w:r>
    </w:p>
    <w:p w14:paraId="69872C54" w14:textId="77AA41EB" w:rsidR="00D746D4" w:rsidRPr="00712BE1" w:rsidRDefault="00D746D4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забезпечення всіх освітні заклади громади контейнерами для роздільного збору сміття.</w:t>
      </w:r>
    </w:p>
    <w:p w14:paraId="58533E72" w14:textId="77777777" w:rsidR="00D746D4" w:rsidRPr="00712BE1" w:rsidRDefault="00D746D4" w:rsidP="00712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93048" w14:textId="77777777" w:rsidR="00530FB9" w:rsidRPr="00712BE1" w:rsidRDefault="00530FB9" w:rsidP="00712BE1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2450EE" w14:textId="77777777" w:rsidR="001C64CB" w:rsidRDefault="00047086" w:rsidP="001C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30FB9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ОЧІКУВАНІ РЕЗУЛЬТАТИ ПРОГРАМИ</w:t>
      </w:r>
    </w:p>
    <w:p w14:paraId="423F9E09" w14:textId="77777777" w:rsidR="001C64CB" w:rsidRDefault="001C64CB" w:rsidP="001C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9B552B" w14:textId="04ADAF79" w:rsidR="00530FB9" w:rsidRPr="00712BE1" w:rsidRDefault="00530FB9" w:rsidP="001C6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передбачених Програмою заходів дозволить досягти наступних результатів та вирішити такі проблеми</w:t>
      </w:r>
      <w:r w:rsid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F561F" w14:textId="7777777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Підвищення якості атмосферного повітря та питної води;</w:t>
      </w:r>
    </w:p>
    <w:p w14:paraId="6A37B4B5" w14:textId="7777777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Зменшення кількості небезпечних відходів;</w:t>
      </w:r>
    </w:p>
    <w:p w14:paraId="761C6E99" w14:textId="7777777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Підвищення рівня безпеки і комфортності середовища існування людини;</w:t>
      </w:r>
    </w:p>
    <w:p w14:paraId="3BCBE489" w14:textId="0B913DB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Підтримувати екологічний стан на території </w:t>
      </w:r>
      <w:r w:rsidR="00D944C2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Долинської 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належному рівні;</w:t>
      </w:r>
    </w:p>
    <w:p w14:paraId="7ECFCD77" w14:textId="77777777" w:rsidR="00530FB9" w:rsidRPr="00712BE1" w:rsidRDefault="00530FB9" w:rsidP="0071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4273" w14:textId="3A00EB8F" w:rsidR="00530FB9" w:rsidRPr="00712BE1" w:rsidRDefault="00047086" w:rsidP="0071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30FB9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ОРГАНІЗАЦІЯ ВИКОНАННЯ  ТА КОНТРОЛЮ ЗА ХОДОМ ВИКОНАННЯ ПРОГРАМИ</w:t>
      </w:r>
    </w:p>
    <w:p w14:paraId="19F16789" w14:textId="77777777" w:rsidR="00047086" w:rsidRPr="00712BE1" w:rsidRDefault="00047086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 та контроль за ходом виконання заходів, передбачених Програмою, покладається на постійну комісію міської ради з питань майна та власності, житлово-комунального господарства та благоустрою.</w:t>
      </w:r>
    </w:p>
    <w:p w14:paraId="6E061A29" w14:textId="77777777" w:rsidR="00B749D1" w:rsidRPr="00712BE1" w:rsidRDefault="00B749D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690E0" w14:textId="77777777" w:rsidR="00B749D1" w:rsidRPr="00712BE1" w:rsidRDefault="00B749D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0D67E" w14:textId="77777777" w:rsidR="00B749D1" w:rsidRPr="00712BE1" w:rsidRDefault="00B749D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FD84A" w14:textId="77777777" w:rsidR="00712BE1" w:rsidRPr="00712BE1" w:rsidRDefault="00712BE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2BE1" w:rsidRPr="00712BE1" w:rsidSect="002A0E0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16C50496" w14:textId="1F4DB6A7" w:rsidR="00EA1739" w:rsidRPr="00712BE1" w:rsidRDefault="00EA1739" w:rsidP="00712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Таблиця 1</w:t>
      </w:r>
    </w:p>
    <w:tbl>
      <w:tblPr>
        <w:tblpPr w:leftFromText="180" w:rightFromText="180" w:vertAnchor="text" w:horzAnchor="margin" w:tblpY="179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684"/>
        <w:gridCol w:w="881"/>
        <w:gridCol w:w="1134"/>
        <w:gridCol w:w="947"/>
        <w:gridCol w:w="1321"/>
        <w:gridCol w:w="992"/>
        <w:gridCol w:w="1241"/>
      </w:tblGrid>
      <w:tr w:rsidR="00712BE1" w:rsidRPr="00712BE1" w14:paraId="44A2C14C" w14:textId="77777777" w:rsidTr="00712BE1">
        <w:trPr>
          <w:trHeight w:val="328"/>
        </w:trPr>
        <w:tc>
          <w:tcPr>
            <w:tcW w:w="654" w:type="dxa"/>
            <w:vMerge w:val="restart"/>
            <w:shd w:val="clear" w:color="auto" w:fill="auto"/>
            <w:noWrap/>
            <w:vAlign w:val="center"/>
            <w:hideMark/>
          </w:tcPr>
          <w:p w14:paraId="302D0D7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B6AE3B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684" w:type="dxa"/>
            <w:vMerge w:val="restart"/>
            <w:shd w:val="clear" w:color="auto" w:fill="auto"/>
            <w:noWrap/>
            <w:vAlign w:val="center"/>
            <w:hideMark/>
          </w:tcPr>
          <w:p w14:paraId="5EAE36D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14:paraId="5C7A0C99" w14:textId="5540F31A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р.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1424284" w14:textId="33DD5514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р.</w:t>
            </w:r>
          </w:p>
        </w:tc>
        <w:tc>
          <w:tcPr>
            <w:tcW w:w="2233" w:type="dxa"/>
            <w:gridSpan w:val="2"/>
            <w:shd w:val="clear" w:color="auto" w:fill="auto"/>
            <w:noWrap/>
            <w:vAlign w:val="center"/>
            <w:hideMark/>
          </w:tcPr>
          <w:p w14:paraId="75FEA23C" w14:textId="4D15B802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 р.</w:t>
            </w:r>
          </w:p>
        </w:tc>
      </w:tr>
      <w:tr w:rsidR="00712BE1" w:rsidRPr="00712BE1" w14:paraId="38BAC8A1" w14:textId="77777777" w:rsidTr="00476120">
        <w:trPr>
          <w:trHeight w:val="328"/>
        </w:trPr>
        <w:tc>
          <w:tcPr>
            <w:tcW w:w="654" w:type="dxa"/>
            <w:vMerge/>
            <w:vAlign w:val="center"/>
            <w:hideMark/>
          </w:tcPr>
          <w:p w14:paraId="32DE50DC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Merge/>
            <w:vAlign w:val="center"/>
            <w:hideMark/>
          </w:tcPr>
          <w:p w14:paraId="15D0D00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6C8862A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к-cть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FBDE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cума, грн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DB4BC5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к-сть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39AAB17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cума, грн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639B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к-сть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C09FA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cума, грн</w:t>
            </w:r>
          </w:p>
        </w:tc>
      </w:tr>
      <w:tr w:rsidR="00712BE1" w:rsidRPr="00712BE1" w14:paraId="25D29F0F" w14:textId="77777777" w:rsidTr="00476120">
        <w:trPr>
          <w:trHeight w:val="313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0AF89F9" w14:textId="17316DF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194D0C39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контейнерів для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3BDA9670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CA1536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29CA03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DBC4C6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B079E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6F0254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390000</w:t>
            </w:r>
          </w:p>
        </w:tc>
      </w:tr>
      <w:tr w:rsidR="00712BE1" w:rsidRPr="00712BE1" w14:paraId="7511A042" w14:textId="77777777" w:rsidTr="00476120">
        <w:trPr>
          <w:trHeight w:val="625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C2CD7DF" w14:textId="520D568D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7F623C2E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для ремонту  контейнерів для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76ABBD6C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EDD15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4C44A6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3967B1E7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0CC40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7488B37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305000</w:t>
            </w:r>
          </w:p>
        </w:tc>
      </w:tr>
      <w:tr w:rsidR="00712BE1" w:rsidRPr="00712BE1" w14:paraId="49F64D1E" w14:textId="77777777" w:rsidTr="00476120">
        <w:trPr>
          <w:trHeight w:val="625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03DF7AB" w14:textId="64BE2E6C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24531FFB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для поточного ремонту сміттєвих площадок для збору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3FEB74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EEA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077BBA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C65F637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376F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16E905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280000</w:t>
            </w:r>
          </w:p>
        </w:tc>
      </w:tr>
      <w:tr w:rsidR="00712BE1" w:rsidRPr="00712BE1" w14:paraId="120E8E8F" w14:textId="77777777" w:rsidTr="00476120">
        <w:trPr>
          <w:trHeight w:val="938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8F94BBF" w14:textId="6F07BED9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5EDB9BAD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 для належного утримання сміттєвих площадок для збору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9F02C0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D56C1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F9FC77A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FB4848A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D674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38074D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</w:t>
            </w:r>
          </w:p>
        </w:tc>
      </w:tr>
      <w:tr w:rsidR="00712BE1" w:rsidRPr="00712BE1" w14:paraId="4462FDC6" w14:textId="77777777" w:rsidTr="00476120">
        <w:trPr>
          <w:trHeight w:val="313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37FB780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65AF822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19207459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C48E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965000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126C10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6C913D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A420C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3948946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1115000</w:t>
            </w:r>
          </w:p>
        </w:tc>
      </w:tr>
    </w:tbl>
    <w:p w14:paraId="3DD80F26" w14:textId="1F4DB6A7" w:rsidR="00890323" w:rsidRPr="00712BE1" w:rsidRDefault="00890323" w:rsidP="0071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4895CF5" w14:textId="77777777" w:rsidR="00712BE1" w:rsidRPr="00712BE1" w:rsidRDefault="00712BE1" w:rsidP="0071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4C01E31" w14:textId="77777777" w:rsidR="00712BE1" w:rsidRPr="00712BE1" w:rsidRDefault="00712BE1" w:rsidP="0071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3222E05" w14:textId="274FD408" w:rsidR="00B749D1" w:rsidRPr="00712BE1" w:rsidRDefault="00B749D1" w:rsidP="00712BE1">
      <w:pPr>
        <w:shd w:val="clear" w:color="auto" w:fill="FFFFFF"/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2B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Таблиця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6912"/>
        <w:gridCol w:w="2374"/>
      </w:tblGrid>
      <w:tr w:rsidR="00B749D1" w:rsidRPr="00712BE1" w14:paraId="410F762D" w14:textId="77777777" w:rsidTr="00712BE1">
        <w:trPr>
          <w:trHeight w:val="611"/>
        </w:trPr>
        <w:tc>
          <w:tcPr>
            <w:tcW w:w="559" w:type="dxa"/>
            <w:vAlign w:val="center"/>
          </w:tcPr>
          <w:p w14:paraId="3736FBD6" w14:textId="77777777" w:rsidR="00B749D1" w:rsidRPr="00712BE1" w:rsidRDefault="00B749D1" w:rsidP="0071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№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6920" w:type="dxa"/>
            <w:vAlign w:val="center"/>
          </w:tcPr>
          <w:p w14:paraId="536819AE" w14:textId="790DB17D" w:rsidR="00B749D1" w:rsidRPr="00712BE1" w:rsidRDefault="00D944C2" w:rsidP="0071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Назва робіт</w:t>
            </w:r>
          </w:p>
        </w:tc>
        <w:tc>
          <w:tcPr>
            <w:tcW w:w="2375" w:type="dxa"/>
            <w:vAlign w:val="center"/>
          </w:tcPr>
          <w:p w14:paraId="5BAE195A" w14:textId="0168C3A8" w:rsidR="00B749D1" w:rsidRPr="00712BE1" w:rsidRDefault="00D944C2" w:rsidP="0071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 xml:space="preserve">Очікувані 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видатки, грн</w:t>
            </w:r>
          </w:p>
        </w:tc>
      </w:tr>
      <w:tr w:rsidR="00B749D1" w:rsidRPr="00712BE1" w14:paraId="2D06AEF2" w14:textId="77777777" w:rsidTr="00712BE1">
        <w:tc>
          <w:tcPr>
            <w:tcW w:w="559" w:type="dxa"/>
          </w:tcPr>
          <w:p w14:paraId="09356615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920" w:type="dxa"/>
          </w:tcPr>
          <w:p w14:paraId="6099DCEA" w14:textId="6A5FBB70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каналізаційної мережі по вул. Шевченка, Привокзальна, Мазурика, Заозерна та Поповича в м. Долина </w:t>
            </w:r>
          </w:p>
        </w:tc>
        <w:tc>
          <w:tcPr>
            <w:tcW w:w="2375" w:type="dxa"/>
          </w:tcPr>
          <w:p w14:paraId="09BCDA13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8 600 000,00</w:t>
            </w:r>
          </w:p>
        </w:tc>
      </w:tr>
      <w:tr w:rsidR="00B749D1" w:rsidRPr="00712BE1" w14:paraId="58A454BF" w14:textId="77777777" w:rsidTr="00712BE1">
        <w:tc>
          <w:tcPr>
            <w:tcW w:w="559" w:type="dxa"/>
          </w:tcPr>
          <w:p w14:paraId="74723B8C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920" w:type="dxa"/>
          </w:tcPr>
          <w:p w14:paraId="5D636E8E" w14:textId="253F1FEB" w:rsidR="00B749D1" w:rsidRPr="00712BE1" w:rsidRDefault="00F21AE6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Реконструкція дощової та господарсько-побутової каналізації по вул. Чорновола та вул. Молодіжна в м. Долина Івано-Франківської області (в т. ч. ПКД)</w:t>
            </w:r>
          </w:p>
        </w:tc>
        <w:tc>
          <w:tcPr>
            <w:tcW w:w="2375" w:type="dxa"/>
          </w:tcPr>
          <w:p w14:paraId="4A9531CD" w14:textId="3910964F" w:rsidR="00B749D1" w:rsidRPr="00712BE1" w:rsidRDefault="00F21AE6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  <w:r w:rsidR="00A97067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D64C8D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814</w:t>
            </w:r>
            <w:r w:rsidR="00A97067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D64C8D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  <w:r w:rsidR="00A97067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</w:tr>
      <w:tr w:rsidR="00B749D1" w:rsidRPr="00712BE1" w14:paraId="065C24FB" w14:textId="77777777" w:rsidTr="00712BE1">
        <w:trPr>
          <w:trHeight w:val="412"/>
        </w:trPr>
        <w:tc>
          <w:tcPr>
            <w:tcW w:w="559" w:type="dxa"/>
          </w:tcPr>
          <w:p w14:paraId="4BD01BCB" w14:textId="24AE6960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="00712BE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920" w:type="dxa"/>
          </w:tcPr>
          <w:p w14:paraId="09C706CE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Реконструкція полігону ТПВ (в т.ч. ПКД)</w:t>
            </w:r>
          </w:p>
        </w:tc>
        <w:tc>
          <w:tcPr>
            <w:tcW w:w="2375" w:type="dxa"/>
          </w:tcPr>
          <w:p w14:paraId="335CB36D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45 500 000,00</w:t>
            </w:r>
          </w:p>
        </w:tc>
      </w:tr>
      <w:tr w:rsidR="00B749D1" w:rsidRPr="00712BE1" w14:paraId="0C5A59F9" w14:textId="77777777" w:rsidTr="00712BE1">
        <w:trPr>
          <w:trHeight w:val="470"/>
        </w:trPr>
        <w:tc>
          <w:tcPr>
            <w:tcW w:w="559" w:type="dxa"/>
          </w:tcPr>
          <w:p w14:paraId="03C1B57F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920" w:type="dxa"/>
          </w:tcPr>
          <w:p w14:paraId="395C7532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375" w:type="dxa"/>
          </w:tcPr>
          <w:p w14:paraId="2B08D183" w14:textId="53AD8930" w:rsidR="00B749D1" w:rsidRPr="00712BE1" w:rsidRDefault="00A97067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83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64C8D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914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64C8D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133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65D69CE7" w14:textId="4F586708" w:rsidR="00372BDB" w:rsidRPr="00712BE1" w:rsidRDefault="00372BDB" w:rsidP="0071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372BDB" w:rsidRPr="00712BE1" w:rsidSect="002A0E0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DDCB" w14:textId="77777777" w:rsidR="0061052C" w:rsidRDefault="0061052C" w:rsidP="0089705A">
      <w:pPr>
        <w:spacing w:after="0" w:line="240" w:lineRule="auto"/>
      </w:pPr>
      <w:r>
        <w:separator/>
      </w:r>
    </w:p>
  </w:endnote>
  <w:endnote w:type="continuationSeparator" w:id="0">
    <w:p w14:paraId="4000E977" w14:textId="77777777" w:rsidR="0061052C" w:rsidRDefault="0061052C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06B39" w14:textId="77777777" w:rsidR="0061052C" w:rsidRDefault="0061052C" w:rsidP="0089705A">
      <w:pPr>
        <w:spacing w:after="0" w:line="240" w:lineRule="auto"/>
      </w:pPr>
      <w:r>
        <w:separator/>
      </w:r>
    </w:p>
  </w:footnote>
  <w:footnote w:type="continuationSeparator" w:id="0">
    <w:p w14:paraId="4E2214E0" w14:textId="77777777" w:rsidR="0061052C" w:rsidRDefault="0061052C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6018" w14:textId="13FFC7EF" w:rsidR="0089705A" w:rsidRDefault="0089705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087368"/>
      <w:docPartObj>
        <w:docPartGallery w:val="Page Numbers (Top of Page)"/>
        <w:docPartUnique/>
      </w:docPartObj>
    </w:sdtPr>
    <w:sdtEndPr/>
    <w:sdtContent>
      <w:p w14:paraId="6E0EE8EF" w14:textId="02D77645" w:rsidR="00DF4E66" w:rsidRDefault="00DF4E66" w:rsidP="00DF4E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12F4B"/>
    <w:multiLevelType w:val="hybridMultilevel"/>
    <w:tmpl w:val="8A54323A"/>
    <w:lvl w:ilvl="0" w:tplc="972A9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52067"/>
    <w:multiLevelType w:val="hybridMultilevel"/>
    <w:tmpl w:val="45146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2663"/>
    <w:multiLevelType w:val="hybridMultilevel"/>
    <w:tmpl w:val="A56E0158"/>
    <w:lvl w:ilvl="0" w:tplc="D40C4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40875"/>
    <w:rsid w:val="00047086"/>
    <w:rsid w:val="000526D5"/>
    <w:rsid w:val="000961BC"/>
    <w:rsid w:val="000C41EF"/>
    <w:rsid w:val="00174CE2"/>
    <w:rsid w:val="001C64CB"/>
    <w:rsid w:val="001E1C66"/>
    <w:rsid w:val="001E7408"/>
    <w:rsid w:val="001F237F"/>
    <w:rsid w:val="00265E8B"/>
    <w:rsid w:val="00267007"/>
    <w:rsid w:val="002A0E01"/>
    <w:rsid w:val="002D7A70"/>
    <w:rsid w:val="002E5AA0"/>
    <w:rsid w:val="002F3FAB"/>
    <w:rsid w:val="002F6A2B"/>
    <w:rsid w:val="00353658"/>
    <w:rsid w:val="00370CE7"/>
    <w:rsid w:val="00372BDB"/>
    <w:rsid w:val="00393C39"/>
    <w:rsid w:val="003A0B36"/>
    <w:rsid w:val="003A35D6"/>
    <w:rsid w:val="003E3996"/>
    <w:rsid w:val="004255C9"/>
    <w:rsid w:val="00426AF7"/>
    <w:rsid w:val="00472B98"/>
    <w:rsid w:val="00476120"/>
    <w:rsid w:val="0048096E"/>
    <w:rsid w:val="004A357D"/>
    <w:rsid w:val="004E75CC"/>
    <w:rsid w:val="00530FB9"/>
    <w:rsid w:val="00577D8D"/>
    <w:rsid w:val="0061052C"/>
    <w:rsid w:val="00610802"/>
    <w:rsid w:val="006A14A7"/>
    <w:rsid w:val="006A48A4"/>
    <w:rsid w:val="00706CB6"/>
    <w:rsid w:val="00712BE1"/>
    <w:rsid w:val="007447AA"/>
    <w:rsid w:val="0076629B"/>
    <w:rsid w:val="00775825"/>
    <w:rsid w:val="00777AA7"/>
    <w:rsid w:val="00784EA4"/>
    <w:rsid w:val="007E1534"/>
    <w:rsid w:val="007E3E25"/>
    <w:rsid w:val="007F07BF"/>
    <w:rsid w:val="007F641C"/>
    <w:rsid w:val="00864890"/>
    <w:rsid w:val="00890323"/>
    <w:rsid w:val="0089705A"/>
    <w:rsid w:val="00897896"/>
    <w:rsid w:val="008C2DCB"/>
    <w:rsid w:val="00901E69"/>
    <w:rsid w:val="00957A15"/>
    <w:rsid w:val="00961976"/>
    <w:rsid w:val="009A5321"/>
    <w:rsid w:val="009C3BD4"/>
    <w:rsid w:val="009E131F"/>
    <w:rsid w:val="009F184D"/>
    <w:rsid w:val="009F61EF"/>
    <w:rsid w:val="00A32DC1"/>
    <w:rsid w:val="00A715D1"/>
    <w:rsid w:val="00A97067"/>
    <w:rsid w:val="00AA644F"/>
    <w:rsid w:val="00B065A1"/>
    <w:rsid w:val="00B21EC9"/>
    <w:rsid w:val="00B26BB4"/>
    <w:rsid w:val="00B749D1"/>
    <w:rsid w:val="00B93B29"/>
    <w:rsid w:val="00BC1D2E"/>
    <w:rsid w:val="00BD67E3"/>
    <w:rsid w:val="00BE668A"/>
    <w:rsid w:val="00C61D44"/>
    <w:rsid w:val="00C61E2E"/>
    <w:rsid w:val="00CB2244"/>
    <w:rsid w:val="00CC5A66"/>
    <w:rsid w:val="00CF6B35"/>
    <w:rsid w:val="00D34D41"/>
    <w:rsid w:val="00D368D5"/>
    <w:rsid w:val="00D416A6"/>
    <w:rsid w:val="00D60709"/>
    <w:rsid w:val="00D64C8D"/>
    <w:rsid w:val="00D746D4"/>
    <w:rsid w:val="00D944C2"/>
    <w:rsid w:val="00DA656B"/>
    <w:rsid w:val="00DA65A0"/>
    <w:rsid w:val="00DD0FE4"/>
    <w:rsid w:val="00DF4E66"/>
    <w:rsid w:val="00E04959"/>
    <w:rsid w:val="00E334EB"/>
    <w:rsid w:val="00E564D9"/>
    <w:rsid w:val="00E96D8E"/>
    <w:rsid w:val="00EA1739"/>
    <w:rsid w:val="00ED0E30"/>
    <w:rsid w:val="00ED522C"/>
    <w:rsid w:val="00EE4BF4"/>
    <w:rsid w:val="00F07AE5"/>
    <w:rsid w:val="00F21AE6"/>
    <w:rsid w:val="00F8732E"/>
    <w:rsid w:val="00F95D0C"/>
    <w:rsid w:val="00FA0AD9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19FBC"/>
  <w15:docId w15:val="{9B2814EA-D3CC-4782-A94D-32098DAB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9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1E48-7B24-4FCC-9E64-4D312D81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4808</Words>
  <Characters>2741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2024-10-31T13:55:00Z</cp:lastPrinted>
  <dcterms:created xsi:type="dcterms:W3CDTF">2024-12-23T13:57:00Z</dcterms:created>
  <dcterms:modified xsi:type="dcterms:W3CDTF">2024-12-23T13:57:00Z</dcterms:modified>
</cp:coreProperties>
</file>