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AF890" w14:textId="77777777" w:rsidR="00096A8C" w:rsidRPr="00C37A72" w:rsidRDefault="00096A8C" w:rsidP="00096A8C">
      <w:pPr>
        <w:rPr>
          <w:lang w:val="uk-UA"/>
        </w:rPr>
      </w:pPr>
      <w:bookmarkStart w:id="0" w:name="_GoBack"/>
      <w:bookmarkEnd w:id="0"/>
    </w:p>
    <w:tbl>
      <w:tblPr>
        <w:tblW w:w="5090" w:type="pct"/>
        <w:tblInd w:w="-1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"/>
        <w:gridCol w:w="7956"/>
        <w:gridCol w:w="1100"/>
        <w:gridCol w:w="1452"/>
        <w:gridCol w:w="1724"/>
        <w:gridCol w:w="2977"/>
        <w:gridCol w:w="688"/>
      </w:tblGrid>
      <w:tr w:rsidR="00096A8C" w:rsidRPr="009834D0" w14:paraId="6D6A445A" w14:textId="77777777" w:rsidTr="00965C94">
        <w:trPr>
          <w:gridBefore w:val="1"/>
          <w:gridAfter w:val="1"/>
          <w:wBefore w:w="29" w:type="pct"/>
          <w:wAfter w:w="215" w:type="pct"/>
          <w:trHeight w:val="276"/>
        </w:trPr>
        <w:tc>
          <w:tcPr>
            <w:tcW w:w="2488" w:type="pct"/>
            <w:vMerge w:val="restart"/>
          </w:tcPr>
          <w:p w14:paraId="50AE8CD2" w14:textId="77777777" w:rsidR="00096A8C" w:rsidRPr="00C37A72" w:rsidRDefault="00096A8C" w:rsidP="00E85FF5">
            <w:pPr>
              <w:spacing w:after="0" w:line="264" w:lineRule="atLeast"/>
              <w:ind w:right="-232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ПОГОДЖЕНО</w:t>
            </w:r>
          </w:p>
          <w:p w14:paraId="535D2C54" w14:textId="77777777" w:rsidR="00096A8C" w:rsidRPr="00C37A72" w:rsidRDefault="00096A8C" w:rsidP="00E85FF5">
            <w:pPr>
              <w:spacing w:after="0" w:line="264" w:lineRule="atLeast"/>
              <w:ind w:right="-232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</w:p>
          <w:p w14:paraId="387A7CC4" w14:textId="77777777" w:rsidR="00096A8C" w:rsidRPr="00C37A72" w:rsidRDefault="00096A8C" w:rsidP="00E85FF5">
            <w:pPr>
              <w:spacing w:after="0" w:line="264" w:lineRule="atLeast"/>
              <w:ind w:right="-232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</w:t>
            </w:r>
          </w:p>
          <w:p w14:paraId="4E113468" w14:textId="49C83C1B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sz w:val="20"/>
                <w:szCs w:val="20"/>
                <w:u w:val="single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 </w:t>
            </w:r>
            <w:r w:rsidRPr="00C37A72">
              <w:rPr>
                <w:rFonts w:ascii="Times New Roman" w:hAnsi="Times New Roman"/>
                <w:sz w:val="20"/>
                <w:szCs w:val="20"/>
                <w:u w:val="single"/>
                <w:lang w:val="uk-UA" w:eastAsia="uk-UA"/>
              </w:rPr>
              <w:t>(посада, прізвище та власне</w:t>
            </w:r>
            <w:r w:rsidR="00C37A72">
              <w:rPr>
                <w:rFonts w:ascii="Times New Roman" w:hAnsi="Times New Roman"/>
                <w:sz w:val="20"/>
                <w:szCs w:val="20"/>
                <w:u w:val="single"/>
                <w:lang w:val="uk-UA" w:eastAsia="uk-UA"/>
              </w:rPr>
              <w:t xml:space="preserve"> </w:t>
            </w:r>
            <w:r w:rsidRPr="00C37A72">
              <w:rPr>
                <w:rFonts w:ascii="Times New Roman" w:hAnsi="Times New Roman"/>
                <w:sz w:val="20"/>
                <w:szCs w:val="20"/>
                <w:u w:val="single"/>
                <w:lang w:val="uk-UA" w:eastAsia="uk-UA"/>
              </w:rPr>
              <w:t>ім’я, дата, підпис)</w:t>
            </w:r>
          </w:p>
          <w:p w14:paraId="05146562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sz w:val="20"/>
                <w:szCs w:val="20"/>
                <w:u w:val="single"/>
                <w:lang w:val="uk-UA" w:eastAsia="uk-UA"/>
              </w:rPr>
            </w:pPr>
          </w:p>
          <w:p w14:paraId="7A820DC8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Постійна комісія з питань бюджету та фінансів</w:t>
            </w:r>
          </w:p>
          <w:p w14:paraId="6A579FCC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3E9A55E9" w14:textId="77777777" w:rsidR="00096A8C" w:rsidRPr="00C37A72" w:rsidRDefault="00096A8C" w:rsidP="00E85FF5">
            <w:pPr>
              <w:spacing w:before="17" w:after="0" w:line="150" w:lineRule="atLeast"/>
              <w:ind w:right="-232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РОЗГЛЯНУТО</w:t>
            </w:r>
          </w:p>
          <w:p w14:paraId="41DEAEB3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uk-UA" w:eastAsia="uk-UA"/>
              </w:rPr>
              <w:t>Управління економіки</w:t>
            </w:r>
          </w:p>
          <w:p w14:paraId="16E0E7D1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4D29E7C9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РОЗГЛЯНУТО</w:t>
            </w:r>
          </w:p>
          <w:p w14:paraId="5BADDFF6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Фінансове управління</w:t>
            </w:r>
          </w:p>
          <w:p w14:paraId="3875C752" w14:textId="77777777" w:rsidR="00096A8C" w:rsidRPr="00C37A72" w:rsidRDefault="00096A8C" w:rsidP="00E85FF5">
            <w:pPr>
              <w:spacing w:after="0" w:line="240" w:lineRule="auto"/>
              <w:ind w:right="-2326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268" w:type="pct"/>
            <w:gridSpan w:val="4"/>
            <w:vMerge w:val="restart"/>
            <w:tcMar>
              <w:top w:w="0" w:type="dxa"/>
              <w:left w:w="0" w:type="dxa"/>
              <w:bottom w:w="283" w:type="dxa"/>
              <w:right w:w="0" w:type="dxa"/>
            </w:tcMar>
          </w:tcPr>
          <w:p w14:paraId="196C5E4C" w14:textId="77777777" w:rsidR="00096A8C" w:rsidRPr="00C37A72" w:rsidRDefault="00096A8C" w:rsidP="00E85FF5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96A8C" w:rsidRPr="009834D0" w14:paraId="1A08E092" w14:textId="77777777" w:rsidTr="00965C94">
        <w:trPr>
          <w:gridBefore w:val="1"/>
          <w:gridAfter w:val="1"/>
          <w:wBefore w:w="29" w:type="pct"/>
          <w:wAfter w:w="215" w:type="pct"/>
          <w:trHeight w:val="276"/>
        </w:trPr>
        <w:tc>
          <w:tcPr>
            <w:tcW w:w="2488" w:type="pct"/>
            <w:vMerge/>
          </w:tcPr>
          <w:p w14:paraId="20CD1A1F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  <w:vMerge/>
            <w:vAlign w:val="center"/>
          </w:tcPr>
          <w:p w14:paraId="776FE09D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96A8C" w:rsidRPr="009834D0" w14:paraId="774D5986" w14:textId="77777777" w:rsidTr="00965C94">
        <w:trPr>
          <w:gridBefore w:val="1"/>
          <w:gridAfter w:val="1"/>
          <w:wBefore w:w="29" w:type="pct"/>
          <w:wAfter w:w="215" w:type="pct"/>
          <w:trHeight w:val="276"/>
        </w:trPr>
        <w:tc>
          <w:tcPr>
            <w:tcW w:w="2488" w:type="pct"/>
            <w:vMerge/>
          </w:tcPr>
          <w:p w14:paraId="619C0C7D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  <w:vMerge/>
            <w:vAlign w:val="center"/>
          </w:tcPr>
          <w:p w14:paraId="3A98143E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96A8C" w:rsidRPr="009834D0" w14:paraId="77D9E557" w14:textId="77777777" w:rsidTr="00965C94">
        <w:trPr>
          <w:gridBefore w:val="1"/>
          <w:gridAfter w:val="1"/>
          <w:wBefore w:w="29" w:type="pct"/>
          <w:wAfter w:w="215" w:type="pct"/>
          <w:trHeight w:val="276"/>
        </w:trPr>
        <w:tc>
          <w:tcPr>
            <w:tcW w:w="2488" w:type="pct"/>
            <w:vMerge/>
          </w:tcPr>
          <w:p w14:paraId="6D706310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  <w:vMerge/>
            <w:vAlign w:val="center"/>
          </w:tcPr>
          <w:p w14:paraId="0B95408C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96A8C" w:rsidRPr="00C37A72" w14:paraId="5CC43AC3" w14:textId="77777777" w:rsidTr="00965C94">
        <w:trPr>
          <w:gridBefore w:val="1"/>
          <w:gridAfter w:val="1"/>
          <w:wBefore w:w="29" w:type="pct"/>
          <w:wAfter w:w="215" w:type="pct"/>
          <w:trHeight w:val="18"/>
        </w:trPr>
        <w:tc>
          <w:tcPr>
            <w:tcW w:w="2488" w:type="pct"/>
            <w:vMerge/>
          </w:tcPr>
          <w:p w14:paraId="7D403A6E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</w:tcPr>
          <w:p w14:paraId="240E89AB" w14:textId="77777777" w:rsidR="00096A8C" w:rsidRPr="00C37A72" w:rsidRDefault="00096A8C" w:rsidP="00E85FF5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ЗАТВЕРДЖЕНО</w:t>
            </w:r>
          </w:p>
        </w:tc>
      </w:tr>
      <w:tr w:rsidR="00096A8C" w:rsidRPr="00C37A72" w14:paraId="2B431B20" w14:textId="77777777" w:rsidTr="00965C94">
        <w:trPr>
          <w:gridBefore w:val="1"/>
          <w:gridAfter w:val="1"/>
          <w:wBefore w:w="29" w:type="pct"/>
          <w:wAfter w:w="215" w:type="pct"/>
          <w:trHeight w:val="18"/>
        </w:trPr>
        <w:tc>
          <w:tcPr>
            <w:tcW w:w="2488" w:type="pct"/>
            <w:vMerge/>
            <w:vAlign w:val="center"/>
          </w:tcPr>
          <w:p w14:paraId="6F0F3C47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887025" w14:textId="1F1629FF" w:rsidR="00096A8C" w:rsidRPr="00C37A72" w:rsidRDefault="008940E0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16.10.2025 № 4372-62/2025</w:t>
            </w:r>
          </w:p>
        </w:tc>
      </w:tr>
      <w:tr w:rsidR="00096A8C" w:rsidRPr="00C37A72" w14:paraId="02B555D4" w14:textId="77777777" w:rsidTr="00965C94">
        <w:trPr>
          <w:gridBefore w:val="1"/>
          <w:gridAfter w:val="1"/>
          <w:wBefore w:w="29" w:type="pct"/>
          <w:wAfter w:w="215" w:type="pct"/>
          <w:trHeight w:val="18"/>
        </w:trPr>
        <w:tc>
          <w:tcPr>
            <w:tcW w:w="2488" w:type="pct"/>
            <w:vMerge/>
            <w:vAlign w:val="center"/>
          </w:tcPr>
          <w:p w14:paraId="487472BE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3662ADE1" w14:textId="77777777" w:rsidR="00096A8C" w:rsidRPr="00C37A72" w:rsidRDefault="00096A8C" w:rsidP="00E85FF5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096A8C" w:rsidRPr="009834D0" w14:paraId="55653F52" w14:textId="77777777" w:rsidTr="00965C94">
        <w:trPr>
          <w:gridBefore w:val="1"/>
          <w:gridAfter w:val="1"/>
          <w:wBefore w:w="29" w:type="pct"/>
          <w:wAfter w:w="215" w:type="pct"/>
          <w:trHeight w:val="18"/>
        </w:trPr>
        <w:tc>
          <w:tcPr>
            <w:tcW w:w="2488" w:type="pct"/>
            <w:vMerge/>
            <w:vAlign w:val="center"/>
          </w:tcPr>
          <w:p w14:paraId="01AA4544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27" w:type="dxa"/>
              <w:right w:w="0" w:type="dxa"/>
            </w:tcMar>
          </w:tcPr>
          <w:p w14:paraId="7C2FEB5D" w14:textId="77777777" w:rsidR="00096A8C" w:rsidRPr="00C37A72" w:rsidRDefault="00096A8C" w:rsidP="00E85FF5">
            <w:pPr>
              <w:spacing w:after="0" w:line="264" w:lineRule="atLeast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(протокол постійної комісії з питань бюджету та фінансів)</w:t>
            </w:r>
          </w:p>
        </w:tc>
      </w:tr>
      <w:tr w:rsidR="00096A8C" w:rsidRPr="00C37A72" w14:paraId="4E5FB513" w14:textId="77777777" w:rsidTr="00965C94">
        <w:trPr>
          <w:trHeight w:val="113"/>
        </w:trPr>
        <w:tc>
          <w:tcPr>
            <w:tcW w:w="28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83B1338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D5D0A6E" w14:textId="77777777" w:rsidR="00096A8C" w:rsidRPr="00C37A72" w:rsidRDefault="00096A8C" w:rsidP="00E85FF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75661BEA" w14:textId="77777777" w:rsidR="00096A8C" w:rsidRPr="00C37A72" w:rsidRDefault="00096A8C" w:rsidP="00E85FF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949C6E2" w14:textId="77777777" w:rsidR="00096A8C" w:rsidRPr="00C37A72" w:rsidRDefault="00096A8C" w:rsidP="00E85FF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Коди</w:t>
            </w:r>
          </w:p>
        </w:tc>
      </w:tr>
      <w:tr w:rsidR="00096A8C" w:rsidRPr="00C37A72" w14:paraId="17DC9BA5" w14:textId="77777777" w:rsidTr="00965C94">
        <w:trPr>
          <w:trHeight w:val="113"/>
        </w:trPr>
        <w:tc>
          <w:tcPr>
            <w:tcW w:w="286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8B28619" w14:textId="77777777" w:rsidR="00096A8C" w:rsidRPr="00C37A72" w:rsidRDefault="00096A8C" w:rsidP="00E85FF5">
            <w:pPr>
              <w:pStyle w:val="a5"/>
              <w:rPr>
                <w:rFonts w:ascii="Times New Roman" w:hAnsi="Times New Roman"/>
                <w:b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Підприємство  </w:t>
            </w:r>
            <w:r w:rsidRPr="00C37A72">
              <w:rPr>
                <w:rFonts w:ascii="Times New Roman" w:hAnsi="Times New Roman"/>
                <w:b/>
                <w:lang w:val="uk-UA" w:eastAsia="uk-UA"/>
              </w:rPr>
              <w:t>Комунальне некомерційне підприємство «Долинська</w:t>
            </w:r>
          </w:p>
          <w:p w14:paraId="03CF5204" w14:textId="77777777" w:rsidR="00096A8C" w:rsidRPr="00C37A72" w:rsidRDefault="00096A8C" w:rsidP="00E85FF5">
            <w:pPr>
              <w:pStyle w:val="a5"/>
              <w:rPr>
                <w:rFonts w:ascii="Times New Roman" w:hAnsi="Times New Roman"/>
                <w:b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lang w:val="uk-UA" w:eastAsia="uk-UA"/>
              </w:rPr>
              <w:t xml:space="preserve">багатопрофільна лікарня» Долинської міської ради </w:t>
            </w:r>
          </w:p>
          <w:p w14:paraId="438A0A44" w14:textId="77777777" w:rsidR="00096A8C" w:rsidRPr="00C37A72" w:rsidRDefault="00096A8C" w:rsidP="00E85FF5">
            <w:pPr>
              <w:pStyle w:val="a5"/>
              <w:rPr>
                <w:rFonts w:ascii="Times New Roman" w:hAnsi="Times New Roman"/>
                <w:b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lang w:val="uk-UA" w:eastAsia="uk-UA"/>
              </w:rPr>
              <w:t xml:space="preserve">Івано-Франківської області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1B8AFFE" w14:textId="77777777" w:rsidR="00096A8C" w:rsidRPr="00C37A72" w:rsidRDefault="00096A8C" w:rsidP="00E85FF5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5445C38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ЄДРПОУ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A92ABFB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01993457</w:t>
            </w:r>
          </w:p>
        </w:tc>
      </w:tr>
      <w:tr w:rsidR="00096A8C" w:rsidRPr="00C37A72" w14:paraId="26C8DA8B" w14:textId="77777777" w:rsidTr="00965C94">
        <w:trPr>
          <w:trHeight w:val="113"/>
        </w:trPr>
        <w:tc>
          <w:tcPr>
            <w:tcW w:w="286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54BCC28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Організаційно-правова форма   </w:t>
            </w:r>
            <w:r w:rsidRPr="00C37A72">
              <w:rPr>
                <w:rFonts w:ascii="Times New Roman" w:hAnsi="Times New Roman"/>
                <w:b/>
                <w:lang w:val="uk-UA" w:eastAsia="uk-UA"/>
              </w:rPr>
              <w:t>Комунальне некомерційне підприємство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7E3CB62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8FE58EE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КОПФГ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0A64C46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96A8C" w:rsidRPr="00C37A72" w14:paraId="6592110E" w14:textId="77777777" w:rsidTr="00965C94">
        <w:trPr>
          <w:trHeight w:val="113"/>
        </w:trPr>
        <w:tc>
          <w:tcPr>
            <w:tcW w:w="286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74DA6B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Суб'єкту правління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EBFF21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3A7810A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СПОДУ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C0E2444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96A8C" w:rsidRPr="00C37A72" w14:paraId="59A34487" w14:textId="77777777" w:rsidTr="00965C94">
        <w:trPr>
          <w:trHeight w:val="113"/>
        </w:trPr>
        <w:tc>
          <w:tcPr>
            <w:tcW w:w="286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FA52373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Вид економічної  діяльності              Діяльність у сфері охорони здоров’я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D4DB2B0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8CD07D1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  КВЕД 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CB1BCC2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86.10</w:t>
            </w:r>
          </w:p>
        </w:tc>
      </w:tr>
      <w:tr w:rsidR="00096A8C" w:rsidRPr="00C37A72" w14:paraId="6AB6AE3B" w14:textId="77777777" w:rsidTr="00965C94">
        <w:trPr>
          <w:trHeight w:val="193"/>
        </w:trPr>
        <w:tc>
          <w:tcPr>
            <w:tcW w:w="3854" w:type="pct"/>
            <w:gridSpan w:val="5"/>
            <w:tcBorders>
              <w:top w:val="nil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788D804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Галузь                                                  Охорона здоров’я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D3FDA7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96A8C" w:rsidRPr="009834D0" w14:paraId="36D0B168" w14:textId="77777777" w:rsidTr="00965C94">
        <w:trPr>
          <w:trHeight w:val="270"/>
        </w:trPr>
        <w:tc>
          <w:tcPr>
            <w:tcW w:w="3854" w:type="pct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4700F8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Одиниця виміру, тис. грн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FD2DBF" w14:textId="21B6A3DD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Стандарти звітності</w:t>
            </w:r>
            <w:r w:rsid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</w:t>
            </w: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П(с)БОУ</w:t>
            </w:r>
          </w:p>
        </w:tc>
      </w:tr>
      <w:tr w:rsidR="00096A8C" w:rsidRPr="00C37A72" w14:paraId="65BB6DFF" w14:textId="77777777" w:rsidTr="00965C94">
        <w:trPr>
          <w:trHeight w:val="24"/>
        </w:trPr>
        <w:tc>
          <w:tcPr>
            <w:tcW w:w="3854" w:type="pct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F32C562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Середньооблікова кількість штатних працівників          469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9CB424D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Стандарти звітності МСФЗ</w:t>
            </w:r>
          </w:p>
        </w:tc>
      </w:tr>
      <w:tr w:rsidR="00096A8C" w:rsidRPr="009834D0" w14:paraId="4AC04D37" w14:textId="77777777" w:rsidTr="00965C94">
        <w:trPr>
          <w:trHeight w:val="113"/>
        </w:trPr>
        <w:tc>
          <w:tcPr>
            <w:tcW w:w="3854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77AA4C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Місце знаходження 77503, Україна, Івано-Франківська обл.,</w:t>
            </w:r>
          </w:p>
          <w:p w14:paraId="23CD1D92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м. Долина, </w:t>
            </w:r>
            <w:proofErr w:type="spellStart"/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вул.О</w:t>
            </w:r>
            <w:proofErr w:type="spellEnd"/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. Грицей, 15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EF43C77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96A8C" w:rsidRPr="00C37A72" w14:paraId="117BF6DD" w14:textId="77777777" w:rsidTr="00965C94">
        <w:trPr>
          <w:trHeight w:val="113"/>
        </w:trPr>
        <w:tc>
          <w:tcPr>
            <w:tcW w:w="3854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E5F025C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Телефон   0501031142</w:t>
            </w:r>
          </w:p>
        </w:tc>
        <w:tc>
          <w:tcPr>
            <w:tcW w:w="1146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EA52EC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96A8C" w:rsidRPr="00C37A72" w14:paraId="0FB329EE" w14:textId="77777777" w:rsidTr="00965C94">
        <w:trPr>
          <w:trHeight w:val="113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BBA2891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uk-UA"/>
              </w:rPr>
              <w:t>Прізвище та власне ім'я керівника   Ільчишин Ольга Миколаївна</w:t>
            </w:r>
          </w:p>
        </w:tc>
      </w:tr>
    </w:tbl>
    <w:p w14:paraId="675C4E79" w14:textId="77777777" w:rsidR="00096A8C" w:rsidRPr="00C37A72" w:rsidRDefault="00096A8C" w:rsidP="00096A8C">
      <w:pPr>
        <w:rPr>
          <w:lang w:val="uk-UA"/>
        </w:rPr>
      </w:pPr>
    </w:p>
    <w:tbl>
      <w:tblPr>
        <w:tblW w:w="15146" w:type="dxa"/>
        <w:jc w:val="center"/>
        <w:tblLayout w:type="fixed"/>
        <w:tblLook w:val="04A0" w:firstRow="1" w:lastRow="0" w:firstColumn="1" w:lastColumn="0" w:noHBand="0" w:noVBand="1"/>
      </w:tblPr>
      <w:tblGrid>
        <w:gridCol w:w="5818"/>
        <w:gridCol w:w="1046"/>
        <w:gridCol w:w="1504"/>
        <w:gridCol w:w="1362"/>
        <w:gridCol w:w="1436"/>
        <w:gridCol w:w="1357"/>
        <w:gridCol w:w="1511"/>
        <w:gridCol w:w="1112"/>
      </w:tblGrid>
      <w:tr w:rsidR="00096A8C" w:rsidRPr="009834D0" w14:paraId="56FE4983" w14:textId="77777777" w:rsidTr="00E85FF5">
        <w:trPr>
          <w:trHeight w:val="210"/>
          <w:jc w:val="center"/>
        </w:trPr>
        <w:tc>
          <w:tcPr>
            <w:tcW w:w="15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6EF1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21BFE7A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Звіт про виконання фінансового плану за  перше півріччя 2025 року</w:t>
            </w:r>
          </w:p>
        </w:tc>
      </w:tr>
      <w:tr w:rsidR="00096A8C" w:rsidRPr="00C37A72" w14:paraId="2588DA41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7137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6CC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42978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C140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9A3A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851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81A38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BAE7" w14:textId="77777777" w:rsidR="00096A8C" w:rsidRPr="008940E0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940E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096A8C" w:rsidRPr="009834D0" w14:paraId="570482AA" w14:textId="77777777" w:rsidTr="00E85FF5">
        <w:trPr>
          <w:trHeight w:val="360"/>
          <w:jc w:val="center"/>
        </w:trPr>
        <w:tc>
          <w:tcPr>
            <w:tcW w:w="5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BB2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 показника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183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5BD7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5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F44A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Звітний період  І півріччя 2025р.</w:t>
            </w:r>
          </w:p>
        </w:tc>
      </w:tr>
      <w:tr w:rsidR="00096A8C" w:rsidRPr="00C37A72" w14:paraId="31450F7F" w14:textId="77777777" w:rsidTr="00D25095">
        <w:trPr>
          <w:trHeight w:val="509"/>
          <w:jc w:val="center"/>
        </w:trPr>
        <w:tc>
          <w:tcPr>
            <w:tcW w:w="5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58E0B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7377A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A59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1D68CF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4A83D3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AFF917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відхилення,  +/–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F3AD1D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Вико-</w:t>
            </w:r>
            <w:proofErr w:type="spellStart"/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нання</w:t>
            </w:r>
            <w:proofErr w:type="spellEnd"/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 %</w:t>
            </w:r>
          </w:p>
        </w:tc>
      </w:tr>
      <w:tr w:rsidR="00096A8C" w:rsidRPr="00C37A72" w14:paraId="000CFE78" w14:textId="77777777" w:rsidTr="00D25095">
        <w:trPr>
          <w:trHeight w:val="1128"/>
          <w:jc w:val="center"/>
        </w:trPr>
        <w:tc>
          <w:tcPr>
            <w:tcW w:w="5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C6F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B3D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FA0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минулий</w:t>
            </w:r>
          </w:p>
          <w:p w14:paraId="29D47D5F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  <w:p w14:paraId="57DA5CBC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 півріччя 2024 р.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D1D" w14:textId="35AB7A54" w:rsidR="00096A8C" w:rsidRPr="00C37A72" w:rsidRDefault="00C37A72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="00096A8C"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оточнийрік</w:t>
            </w:r>
            <w:proofErr w:type="spellEnd"/>
          </w:p>
          <w:p w14:paraId="637AE30D" w14:textId="77777777" w:rsidR="00096A8C" w:rsidRPr="00C37A72" w:rsidRDefault="00096A8C" w:rsidP="00E8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 півріччя 2025р.</w:t>
            </w:r>
          </w:p>
        </w:tc>
        <w:tc>
          <w:tcPr>
            <w:tcW w:w="1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4AC0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B091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E97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E09F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96A8C" w:rsidRPr="00C37A72" w14:paraId="09AC4C6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8BF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EE1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44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4F4D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41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B91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9D84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AF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096A8C" w:rsidRPr="00C37A72" w14:paraId="34B16FBA" w14:textId="77777777" w:rsidTr="00E85FF5">
        <w:trPr>
          <w:trHeight w:val="360"/>
          <w:jc w:val="center"/>
        </w:trPr>
        <w:tc>
          <w:tcPr>
            <w:tcW w:w="15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C3CB3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I. Фінансові  результати</w:t>
            </w:r>
          </w:p>
        </w:tc>
      </w:tr>
      <w:tr w:rsidR="00096A8C" w:rsidRPr="00C37A72" w14:paraId="317BE285" w14:textId="77777777" w:rsidTr="00E85FF5">
        <w:trPr>
          <w:trHeight w:val="375"/>
          <w:jc w:val="center"/>
        </w:trPr>
        <w:tc>
          <w:tcPr>
            <w:tcW w:w="1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FE1A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Доходи і витрати від операційної  діяльності (деталізація)</w:t>
            </w:r>
          </w:p>
        </w:tc>
      </w:tr>
      <w:tr w:rsidR="00096A8C" w:rsidRPr="00C37A72" w14:paraId="696564E2" w14:textId="77777777" w:rsidTr="00D25095">
        <w:trPr>
          <w:trHeight w:val="848"/>
          <w:jc w:val="center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CF32" w14:textId="77777777" w:rsidR="00096A8C" w:rsidRPr="00C37A72" w:rsidRDefault="00096A8C" w:rsidP="00E85F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Дохід (виручка) від реалізації продукції (товарів, робіт, послуг), у тому числі: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AE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000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72679,9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82F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72859,8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99AE4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74387,5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E4E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72859,8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8E7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-1527,7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700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</w:tr>
      <w:tr w:rsidR="00096A8C" w:rsidRPr="00C37A72" w14:paraId="1549559B" w14:textId="77777777" w:rsidTr="00D25095">
        <w:trPr>
          <w:trHeight w:val="405"/>
          <w:jc w:val="center"/>
        </w:trPr>
        <w:tc>
          <w:tcPr>
            <w:tcW w:w="5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1AEC" w14:textId="77777777" w:rsidR="00096A8C" w:rsidRPr="00C37A72" w:rsidRDefault="00096A8C" w:rsidP="00E85F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за рахунок коштів НСЗУ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D45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946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72679,9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79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72859,8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1B2F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74387,5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A48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72859,8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A43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-1527,7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C60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</w:tr>
      <w:tr w:rsidR="00096A8C" w:rsidRPr="00C37A72" w14:paraId="243FC423" w14:textId="77777777" w:rsidTr="00D25095">
        <w:trPr>
          <w:trHeight w:val="79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018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Дохід з місцевого бюджету цільового фінансування (на оплату комунальних послуг, товарів, робіт та послуг у розрізі діючих програм, і</w:t>
            </w: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з них на оплату енергоносіїв)</w:t>
            </w: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C8D2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DA6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4250,6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AC5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6268,0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7560A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17180,4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607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6268,0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ED8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-10912,4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342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</w:tr>
      <w:tr w:rsidR="00096A8C" w:rsidRPr="00C37A72" w14:paraId="48668407" w14:textId="77777777" w:rsidTr="00D25095">
        <w:trPr>
          <w:trHeight w:val="69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26A4" w14:textId="77777777" w:rsidR="00096A8C" w:rsidRPr="00C37A72" w:rsidRDefault="00096A8C" w:rsidP="00E85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C3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Програма підтримки та розвитку КНП «Долинська багатопрофільна лікарня» на 2025- 2027 роки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36B2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31B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3510,6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3C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5968,0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A3FEB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15726,4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DDC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5968,0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13F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-9758,4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7BF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096A8C" w:rsidRPr="00C37A72" w14:paraId="6D8C99C4" w14:textId="77777777" w:rsidTr="00D25095">
        <w:trPr>
          <w:trHeight w:val="79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DD75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Обласна регіональна цільова програма розвитку соціальної інфраструктури Івано-Франківської області на 2022-2025 роки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8DFA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535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740,0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E7D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84D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950,0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D0E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C22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-650,0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074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096A8C" w:rsidRPr="00C37A72" w14:paraId="4680F776" w14:textId="77777777" w:rsidTr="00D25095">
        <w:trPr>
          <w:trHeight w:val="42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E605" w14:textId="77777777" w:rsidR="00096A8C" w:rsidRPr="00C37A72" w:rsidRDefault="00096A8C" w:rsidP="00E85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C3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Програма соціально-економічного та культурного розвитку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245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AF6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849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78F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455,0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429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8BB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40B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21EB096" w14:textId="77777777" w:rsidTr="00D25095">
        <w:trPr>
          <w:trHeight w:val="79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462D" w14:textId="77777777" w:rsidR="00096A8C" w:rsidRPr="00C37A72" w:rsidRDefault="00096A8C" w:rsidP="00E85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C37A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Програма сталого енергетичного розвитку та адаптації до змін клімату Долинської територіальної громади на 2025 - 2027 роки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2428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FD6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CD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2BA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F7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A0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E0B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F7CA7D9" w14:textId="77777777" w:rsidTr="00D25095">
        <w:trPr>
          <w:trHeight w:val="44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37BE" w14:textId="77777777" w:rsidR="00096A8C" w:rsidRPr="00C37A72" w:rsidRDefault="00096A8C" w:rsidP="00E8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3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Відшкодування вартості харчування військовослужбовців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5848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76F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573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242,2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F51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BB6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242,2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AA9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884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8E1F50B" w14:textId="77777777" w:rsidTr="00D25095">
        <w:trPr>
          <w:trHeight w:val="56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FA4F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Відшкодування витрат на проведення досліджень за рахунок коштів державного бюджету)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97A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55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926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F17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A56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DA6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934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68F3FAA" w14:textId="77777777" w:rsidTr="00D25095">
        <w:trPr>
          <w:trHeight w:val="36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7059" w14:textId="77777777" w:rsidR="00096A8C" w:rsidRPr="00C37A72" w:rsidRDefault="00096A8C" w:rsidP="00E85F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Надходження коштів від господарської  діяльності: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FFD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B31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1585,2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C2E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1470,2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560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2231,0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841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1470,2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09E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-760,8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3C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</w:tr>
      <w:tr w:rsidR="00096A8C" w:rsidRPr="00C37A72" w14:paraId="6EA990BF" w14:textId="77777777" w:rsidTr="00D25095">
        <w:trPr>
          <w:trHeight w:val="36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5850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дохід від надання платних послуг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E323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121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62B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1288,5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99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1171,5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BEC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1831,0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01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1171,5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8CF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-659,5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D96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  <w:tr w:rsidR="00096A8C" w:rsidRPr="00C37A72" w14:paraId="6A1FDB7A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2D609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відшкодування за оплату комунальних послуг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A11C7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122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8D88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296,7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7C01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298,7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FD37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F87A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298,7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3868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-101,3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BDA3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</w:tr>
      <w:tr w:rsidR="00096A8C" w:rsidRPr="00C37A72" w14:paraId="6A49C8D8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D38D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 власних надходжень(благодійні внески, гранти та кошти на виконання цільових заходів)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A834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CC6E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6867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968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90A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2432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-25,0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E0C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96A8C" w:rsidRPr="00C37A72" w14:paraId="736D2E5B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FA29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Компенсація витрат на оплату праці ВПО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BBC1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EB22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66B1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7768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9CCD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5154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CFF5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B4AD279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5344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Відшкодування суспільно-корисних робіт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3B6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7E21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104,8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9ABB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155,4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DE5D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68EA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155,4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06B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B91F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683CDD58" w14:textId="77777777" w:rsidTr="00D25095">
        <w:trPr>
          <w:trHeight w:val="61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329D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Відшкодування за  втрату тимчасової непрацездатності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95E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E120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1348,3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C4A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1083,7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FFC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87AD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1083,7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71A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FEEE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594A88C" w14:textId="77777777" w:rsidTr="00D25095">
        <w:trPr>
          <w:trHeight w:val="51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797A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Негрошові надходження (надходження в натуральній  формі), в 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DE2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AD3F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6836,3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514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6488,8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8BE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1BDF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6488,8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8A4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F607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77B497A" w14:textId="77777777" w:rsidTr="00D25095">
        <w:trPr>
          <w:trHeight w:val="52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D6B4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Надходження в натуральній формі з державного бюджету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9B0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FE55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3662,4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D129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512,5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081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729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512,5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A81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E010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56E16283" w14:textId="77777777" w:rsidTr="00D25095">
        <w:trPr>
          <w:trHeight w:val="43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D3E4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Надходження в натуральній формі з обласного, районного, місцевого бюджетів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B45B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B01C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0907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857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6D91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3C77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CDD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950D098" w14:textId="77777777" w:rsidTr="00D25095">
        <w:trPr>
          <w:trHeight w:val="33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2385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Благодійна допомога (звіт пацієнта)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5653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459A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3173,9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17CD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24,8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038E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2B64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24,8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69D0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2DEF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160EE7B" w14:textId="77777777" w:rsidTr="00D25095">
        <w:trPr>
          <w:trHeight w:val="70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44D7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Разом (рядки 100+110+120+130+140)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BC0D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B37A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79968,8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3085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82127,3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2CE9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93837,4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B3A9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82127,3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6E6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-11710,1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1E87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</w:tr>
      <w:tr w:rsidR="00096A8C" w:rsidRPr="00C37A72" w14:paraId="7707D202" w14:textId="77777777" w:rsidTr="00D25095">
        <w:trPr>
          <w:trHeight w:val="33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D42E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Негрошові надходження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A6FA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B9C7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6836,3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F2ED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6488,8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E5B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470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6488,8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6FF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A5F5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1788587E" w14:textId="77777777" w:rsidTr="00D25095">
        <w:trPr>
          <w:trHeight w:hRule="exact" w:val="43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9549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Витрати: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BBD0D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08A0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BBAA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58F8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04AF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E70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6CB7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2016BA8D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79F74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на матеріали та сировину, в </w:t>
            </w:r>
            <w:proofErr w:type="spellStart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D227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1378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9088,5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D1F1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11722,0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FCE9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12084,3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63B8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11722,0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6390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-362,3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A7F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75A97510" w14:textId="77777777" w:rsidTr="00D25095">
        <w:trPr>
          <w:trHeight w:val="54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F6474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Медикаменти та перев’язувальні  матеріали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7694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AEDB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7707,6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DAF0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10674,8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FEEC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10589,3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7A58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10674,8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5FB1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85,5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E936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</w:tr>
      <w:tr w:rsidR="00096A8C" w:rsidRPr="00C37A72" w14:paraId="3E31D4FF" w14:textId="77777777" w:rsidTr="00D25095">
        <w:trPr>
          <w:trHeight w:val="54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CCBD2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Негрошові надходження (медикаменти та перев’язувальні  матеріали)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3E511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BCB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1928,8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F309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1165,9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8CE1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97D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1165,9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89EC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0B87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EB4A6E4" w14:textId="77777777" w:rsidTr="00D25095">
        <w:trPr>
          <w:trHeight w:val="111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08B7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Предмети, матеріали, обладнання та інвентар у т. ч. м'який інвентар, канцтовари, господарський інвентар, запасні  частини до транспортних 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124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C1D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933,5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22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761,0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075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893,3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79A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761,0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4FE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-132,3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747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</w:tr>
      <w:tr w:rsidR="00096A8C" w:rsidRPr="00C37A72" w14:paraId="67E026F3" w14:textId="77777777" w:rsidTr="00D25095">
        <w:trPr>
          <w:trHeight w:val="31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5DC2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Негрошові надходження (предмети, матеріали)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8A6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EBF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1038,2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CF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1357,7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FBCA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295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1357,7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7202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8A6C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EFEB6CF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30B1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продукти харчування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A5C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FD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329,1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D8E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69B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378,5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649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6C3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-359,3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847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96A8C" w:rsidRPr="00C37A72" w14:paraId="45366CEB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AE7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Негрошові надходження (продукти харчування)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999A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822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294,0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2BB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529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4FF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18B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F7B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2245DFB" w14:textId="77777777" w:rsidTr="00D25095">
        <w:trPr>
          <w:trHeight w:val="40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ED3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Придбання програмного забезпечення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FB1F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154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9F4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C6B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8AE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E9F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550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B5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A8207B5" w14:textId="77777777" w:rsidTr="00D25095">
        <w:trPr>
          <w:trHeight w:val="46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5D2B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паливо-мастильні матеріали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58B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272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118,3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EA7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267,0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AA0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223,2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9D5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267,0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FC4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43,8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4DE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</w:tr>
      <w:tr w:rsidR="00096A8C" w:rsidRPr="00C37A72" w14:paraId="37EF8108" w14:textId="77777777" w:rsidTr="00D25095">
        <w:trPr>
          <w:trHeight w:val="46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8976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Негрошові надходження (паливо-мастильні матеріали)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647D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C33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CF9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CFA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A2D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1C8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20C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59801087" w14:textId="77777777" w:rsidTr="00D25095">
        <w:trPr>
          <w:trHeight w:val="88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EAB7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(крім комунальних), в т. ч. супровід програмного забезпечення, телекомунікаційні послуги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462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777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1800,2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F6D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4243,0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61C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3190,7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210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4243,0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EE8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1052,3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450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133</w:t>
            </w:r>
          </w:p>
        </w:tc>
      </w:tr>
      <w:tr w:rsidR="00096A8C" w:rsidRPr="00C37A72" w14:paraId="615F6ACA" w14:textId="77777777" w:rsidTr="00D25095">
        <w:trPr>
          <w:trHeight w:val="45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6EABB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на комунальні послуги та енергоносії, в </w:t>
            </w:r>
            <w:proofErr w:type="spellStart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7B9B0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5FC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3718,9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B3D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4270,6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B7F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5338,7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34F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4270,6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8E5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-1068,1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961F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</w:tr>
      <w:tr w:rsidR="00096A8C" w:rsidRPr="00C37A72" w14:paraId="5410F216" w14:textId="77777777" w:rsidTr="00D25095">
        <w:trPr>
          <w:trHeight w:val="4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09F9D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80C1F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171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E30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1476,3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3F86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2696,5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D9EB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2795,0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089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2696,5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CD22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-98,5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857E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</w:tr>
      <w:tr w:rsidR="00096A8C" w:rsidRPr="00C37A72" w14:paraId="2C1F00B8" w14:textId="77777777" w:rsidTr="00D25095">
        <w:trPr>
          <w:trHeight w:val="42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4269C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водопостачання та  водовідведення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08BC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172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DFAE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1158,0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E307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450,5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8EA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681,7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E6A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450,5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234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-231,2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944B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</w:tr>
      <w:tr w:rsidR="00096A8C" w:rsidRPr="00C37A72" w14:paraId="5FFBED6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890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природній газ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2E5B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173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554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16,4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8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ED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68AF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2D3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-6,2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A0B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</w:tr>
      <w:tr w:rsidR="00096A8C" w:rsidRPr="00C37A72" w14:paraId="45FB681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FE049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теплоенергію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C361F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174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528C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AABF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31F3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FCD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A45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A2D5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B7D21E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4CE0F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Інші енергоносії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20CE2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175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5287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1068,2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E72D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1117,8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580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1850,0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228C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1117,8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260D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-732,2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9BAB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096A8C" w:rsidRPr="00C37A72" w14:paraId="0464CBC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A5477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оплату  праці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71FE3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F2C5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46732,1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0BF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46534,1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D170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47752,4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9DFE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46534,1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08C9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-1218,3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F88E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696831D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A8FC6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A69C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9091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9929,0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166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9785,2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BD6E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10214,0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FE8B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9785,2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2A2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-428,8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A47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</w:tr>
      <w:tr w:rsidR="00096A8C" w:rsidRPr="00C37A72" w14:paraId="7C2A3D5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CB8F4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пов’язані з пільговою пенсією медичних працівників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05D27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28C5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367,1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CF8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347,2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283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336,0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5A87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347,2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D57D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0A9A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</w:tr>
      <w:tr w:rsidR="00096A8C" w:rsidRPr="00C37A72" w14:paraId="45A6B2D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216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на  відрядження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86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45B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147,4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081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18,4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5F2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F7B4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A61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-76,6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A2E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</w:tr>
      <w:tr w:rsidR="00096A8C" w:rsidRPr="00C37A72" w14:paraId="7821540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8373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охорону  праці та навчання  працівників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A61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E65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23,9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BE7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32,2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C90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54,7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9C9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32,2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E6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-22,2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F63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</w:tr>
      <w:tr w:rsidR="00096A8C" w:rsidRPr="00C37A72" w14:paraId="23722901" w14:textId="77777777" w:rsidTr="00D25095">
        <w:trPr>
          <w:trHeight w:val="72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8B75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по виконанню Урядової програми "Доступні ліки" на відшкодування вартості  лікарських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06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1BD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F7A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947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8E2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229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E6E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54315086" w14:textId="77777777" w:rsidTr="00D25095">
        <w:trPr>
          <w:trHeight w:val="72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E75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152574211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Витрати, що здійснюються для підтримання об’єкта в робочому стані (проведення поточного ремонту)</w:t>
            </w:r>
            <w:bookmarkEnd w:id="1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934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AC8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209,5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235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A2F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D0A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FC4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-934,8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A57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096A8C" w:rsidRPr="00C37A72" w14:paraId="5EB3C3F3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13CD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143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0D3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2CC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017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57D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B76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45C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1BFCF3D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742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Інші витрати (розшифрувати)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A9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FFB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F40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CDF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151,7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6EA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BE4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-103,9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6E9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096A8C" w:rsidRPr="00C37A72" w14:paraId="76855B8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45CB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Виконавчі листи, банківське обслуговування, ПДВ, земельний   податок, за  ліцензії, за  забруднення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54C9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8D4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B594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97A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126,7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284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001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-78,9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93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096A8C" w:rsidRPr="00C37A72" w14:paraId="2128DD61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3D9C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Витрати на надання щомісячної  адресної допомоги особам, які  проживають  у  населених  пунктах  Долинської ОТГ та проходять гемодіаліз  у відділенні гемодіалізу 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8095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272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B82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8C34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5D9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66E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D88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863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7E9ADF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9872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Відшкодування суспільно-корисних робіт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2ED3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0D3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104,8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722D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155,4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6C5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7A0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155,4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6DB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7D3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69054DF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F5E3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Відшкодування витрат на проведення досліджень за рахунок коштів державного бюджету)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C36E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51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C97C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FCB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0A1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BF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FD6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35F128A" w14:textId="77777777" w:rsidTr="00D25095">
        <w:trPr>
          <w:trHeight w:val="46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E3E7" w14:textId="77777777" w:rsidR="00096A8C" w:rsidRPr="00C37A72" w:rsidRDefault="00096A8C" w:rsidP="00E85F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Відшкодування ФСС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D62F" w14:textId="77777777" w:rsidR="00096A8C" w:rsidRPr="00C37A72" w:rsidRDefault="00096A8C" w:rsidP="00E85FF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273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849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1348,3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A910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B2E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580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BD4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C68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09160AF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EB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Адміністративні  витрати, у тому 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A91D8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F344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4131,1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D53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4042,1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487F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4579,2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87D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4042,1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801A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-537,1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4F0A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</w:tr>
      <w:tr w:rsidR="00096A8C" w:rsidRPr="00C37A72" w14:paraId="208738D8" w14:textId="77777777" w:rsidTr="00D25095">
        <w:trPr>
          <w:trHeight w:val="70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28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Предмети, матеріали, обладнання та інвентар у т. ч. офісне приладдя та устаткування, витрати на канцтовари, запасні частини до транспортних 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13F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571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75,0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43A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5B3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A3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69C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51D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96A8C" w:rsidRPr="00C37A72" w14:paraId="5C30AB2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7AB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Витрати на паливо-мастильні матеріали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D1D9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D8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4A7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71D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AD3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A62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C0F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96A8C" w:rsidRPr="00C37A72" w14:paraId="434524BB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2A6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Придбання  програмного забезпечення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5C9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653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BD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559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6EB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866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A17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B67593C" w14:textId="77777777" w:rsidTr="00D25095">
        <w:trPr>
          <w:trHeight w:val="53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3E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Оплата послуг (крім комунальних), в т. ч. телекомунікаційні  послуги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040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8F5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131,0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51C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58,8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EA1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58,8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8A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58,8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A4B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554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96A8C" w:rsidRPr="00C37A72" w14:paraId="6C8B9164" w14:textId="77777777" w:rsidTr="00D25095">
        <w:trPr>
          <w:trHeight w:val="16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7D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Супровід програмного забезпечення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AC1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D5E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002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582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89A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D20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D72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96A8C" w:rsidRPr="00C37A72" w14:paraId="069FC5A1" w14:textId="77777777" w:rsidTr="00D25095">
        <w:trPr>
          <w:trHeight w:val="25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47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  <w:t>Витрати на страхові послуги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20F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CFF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E75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89D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D9A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4EE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DEF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96A8C" w:rsidRPr="00C37A72" w14:paraId="566A4D94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718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службові відрядження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13A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AB6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CE7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735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B9F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E7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-5,0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E97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</w:tr>
      <w:tr w:rsidR="00096A8C" w:rsidRPr="00C37A72" w14:paraId="36DBDCA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198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40E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332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3017,3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AA4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2978,2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0FD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3384,9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342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2978,2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6B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-406,7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E96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</w:tr>
      <w:tr w:rsidR="00096A8C" w:rsidRPr="00C37A72" w14:paraId="428A272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A0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246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D33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606,4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ACD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585,4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51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710,8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886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585,4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59E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-125,4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597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</w:tr>
      <w:tr w:rsidR="00096A8C" w:rsidRPr="00C37A72" w14:paraId="1BEE4938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58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електроенергію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833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341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213C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198,1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50D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198,1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899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198,1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A7FB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2ECA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96A8C" w:rsidRPr="00C37A72" w14:paraId="2DBFD7C2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AEC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Витрати на водопостачання та водовідведення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D6E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FD8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8C5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43,0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BCB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43,0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14F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43,0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1DF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B5E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96A8C" w:rsidRPr="00C37A72" w14:paraId="16500A0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9C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Витрати на  природній  газ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F30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1F8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384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677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3DD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D24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A25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236329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4BE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Витрати на теплоенергію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48A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A65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9E5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582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8C8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797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EDE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A9C764B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1CC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Інші  енергоносії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E30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555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64,7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B81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91,6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F68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91,6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18D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91,6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F53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69B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096A8C" w:rsidRPr="009834D0" w14:paraId="13E74D9B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CDA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Витрати на охорону  праці та навчання  працівників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22B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A6A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6A6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BB9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899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062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C4A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9BE742C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EE5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1A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ECA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6A0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901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9EA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B18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3C1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9EC1FA4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C2E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  <w:r w:rsidRPr="00C37A72">
              <w:rPr>
                <w:rFonts w:ascii="Times New Roman" w:hAnsi="Times New Roman"/>
                <w:sz w:val="20"/>
                <w:szCs w:val="20"/>
                <w:lang w:val="uk-UA"/>
              </w:rPr>
              <w:t>(рядки150+160+170+180+190+200+210+220+230+240+250+260+270+280)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038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ED89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77693,7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04A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82346,9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8494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84810,2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0CA8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82346,9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F98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-2463,3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AC3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3F90A15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7FA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Негрошові надходження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7EB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9C91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3264,3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51B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2523,6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1B5D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B7F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2523,6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38E2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0EE3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C4BE0BA" w14:textId="77777777" w:rsidTr="00E85FF5">
        <w:trPr>
          <w:trHeight w:val="360"/>
          <w:jc w:val="center"/>
        </w:trPr>
        <w:tc>
          <w:tcPr>
            <w:tcW w:w="1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A076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II. Елементи операційних витрат</w:t>
            </w:r>
          </w:p>
        </w:tc>
      </w:tr>
      <w:tr w:rsidR="00096A8C" w:rsidRPr="00C37A72" w14:paraId="0058044D" w14:textId="77777777" w:rsidTr="00D25095">
        <w:trPr>
          <w:trHeight w:val="32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0A4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FCF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3776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879B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15BE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12146,3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ECC1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11784,0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9344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-362,3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8378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2E8CDA79" w14:textId="77777777" w:rsidTr="00D25095">
        <w:trPr>
          <w:trHeight w:val="2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BCE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26A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51ED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C610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950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51137,3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9D41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49512,3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A2AF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-1625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EC01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723F6233" w14:textId="77777777" w:rsidTr="00D25095">
        <w:trPr>
          <w:trHeight w:val="25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7C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C72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106F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301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64C8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10924,8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1E2C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10370,6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E38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-554,2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A5F1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096A8C" w:rsidRPr="00C37A72" w14:paraId="03024CED" w14:textId="77777777" w:rsidTr="00D25095">
        <w:trPr>
          <w:trHeight w:val="27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451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B29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B056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B2E7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44B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932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AE5A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723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221FEE2" w14:textId="77777777" w:rsidTr="00D25095">
        <w:trPr>
          <w:trHeight w:val="281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C24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Інші операційні  витрати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7DF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BC8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BF2E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2F3B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10601,8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CA53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10680,0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B4B3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78,2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0FF6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</w:tr>
      <w:tr w:rsidR="00096A8C" w:rsidRPr="00C37A72" w14:paraId="09B3A661" w14:textId="77777777" w:rsidTr="00D25095">
        <w:trPr>
          <w:trHeight w:val="23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0B5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611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4E68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C8D9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12E9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84810,2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4B15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82346,9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34A3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-2463,3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2048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16C474D9" w14:textId="77777777" w:rsidTr="00E85FF5">
        <w:trPr>
          <w:trHeight w:val="360"/>
          <w:jc w:val="center"/>
        </w:trPr>
        <w:tc>
          <w:tcPr>
            <w:tcW w:w="1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7EB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III. Рух грошових коштів</w:t>
            </w:r>
          </w:p>
        </w:tc>
      </w:tr>
      <w:tr w:rsidR="00096A8C" w:rsidRPr="00C37A72" w14:paraId="20EA43E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630E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Грошові кошти та поточні фінансові інвестиції на початок періоду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8B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94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6001,0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F36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22B6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7F3B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7299,6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C9D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5EBF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10FACD9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3209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Грошові кошти на початок періоду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6EC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F2E5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0F20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2DD0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2D1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032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4DB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7059B71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82C8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Поточні фінансові інвестиції на початок періоду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E83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352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F46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F80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A4C3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A3AC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01D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C16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43935EB0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581B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Надходження грошових коштів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E0C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EB58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79968,8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7819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4685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93837,4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462B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82127,3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C09D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F3D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193CF1A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548B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Всього грошових коштів та фінансових інвестицій в наявності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A5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09F8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85969,8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4941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5FF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95616,0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B500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89426,9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94F4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BFA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4DDF1B6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F759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Використання грошових коштів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8D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8ACA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80843,2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4DBC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7D2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95616,0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ED2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84873,5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6E2A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17AC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442F312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F75E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Поточні фінансові інвестиції на кінець періоду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866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390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1BCB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0D2E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6CFE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22B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9910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CAFC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14C86A8C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FEFC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Грошові кошти на кінець періоду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E48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391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A3CB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5126,6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760F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FB79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266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4553,4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2174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2FD9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46BFA654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2FA9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Грошові кошти та поточні фінансові інвестиції на кінець періоду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461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392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6456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8B7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2CC9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F827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CDF4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D9A2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432AD74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E6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ІV. Інвестиційна  діяльність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F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0B5E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16C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65CF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F14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10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4E347BB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C9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Доходи від інвестиційної діяльності, у </w:t>
            </w:r>
            <w:proofErr w:type="spellStart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143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8696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FA18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58CF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DCB6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108E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7C7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1FC62EFA" w14:textId="77777777" w:rsidTr="00D25095">
        <w:trPr>
          <w:trHeight w:val="63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6B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Доходи з місцевого бюджету цільового фінансування по капітальних  видатках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2CE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401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6C4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7381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4D4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79E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70D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837F6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BA56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1D61E5E1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14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F39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252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3149,5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50FB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2526,6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9078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10805,8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497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2526,6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56E1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-8275,2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DFDE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096A8C" w:rsidRPr="00C37A72" w14:paraId="2AFBAF1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83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28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4E2D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FA5E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621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9FDC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89B5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7A3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E7E052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315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придбання(виготовлення) основних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51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70D4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1195,0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605D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442,4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B0F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5BFC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442,4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1D6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-1557,6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73E4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</w:tr>
      <w:tr w:rsidR="00096A8C" w:rsidRPr="00C37A72" w14:paraId="4CBF88C3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D30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Негрошові надходження (придбання основних засобів)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AB4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BA6A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3572,0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F33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3965,2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8F6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DD5E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3965,2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5186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5F47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096A8C" w:rsidRPr="00C37A72" w14:paraId="0383C104" w14:textId="77777777" w:rsidTr="00D25095">
        <w:trPr>
          <w:trHeight w:val="44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886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придбання(виготовлення) інших необоротних матеріальних  активів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3F3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078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C5F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D72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742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696D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6CF8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64A4A917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38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придбання (створення) нематеріальних  активів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4C1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461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BF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B536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B516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E1AE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BFFE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6FAE834" w14:textId="77777777" w:rsidTr="00D25095">
        <w:trPr>
          <w:trHeight w:val="55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A5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D1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0DC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FA5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B98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39AE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88F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88D2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00B588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FC2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B8F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460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B02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1954,5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7D0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1584,2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1E6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6805,8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648D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1584,2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5B65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-5221,6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73E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  <w:tr w:rsidR="00096A8C" w:rsidRPr="00C37A72" w14:paraId="560E0B4D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A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Реконструкція, реставрація нерухомого майна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579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D8C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28A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6764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3D70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636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-1500,0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F6EE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096A8C" w:rsidRPr="00C37A72" w14:paraId="7C9E52E1" w14:textId="77777777" w:rsidTr="00D25095">
        <w:trPr>
          <w:trHeight w:val="61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71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Доходи від фінансової діяльності за зобов’язаннями, у т. ч.: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36FD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7460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6651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1089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254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9026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464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BBB39E5" w14:textId="77777777" w:rsidTr="00D25095">
        <w:trPr>
          <w:trHeight w:val="22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55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кредити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266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1D2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266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37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FE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4FB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9AB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5E074AB2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0B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позики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EF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F97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26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CDF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EB7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498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39B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2FD11A7" w14:textId="77777777" w:rsidTr="00D25095">
        <w:trPr>
          <w:trHeight w:val="25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7A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депозити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B8B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E9A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627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808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99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2CF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F8E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F179867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10C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Інші надходження (розшифрувати)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803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552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E39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E43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EC7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87C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77D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667B52D" w14:textId="77777777" w:rsidTr="00D25095">
        <w:trPr>
          <w:trHeight w:val="42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F8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Витрати від фінансової діяльності за зобов’язаннями, у т. ч.: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CE88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11C4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74B4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C69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48D3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AE12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BA0E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5DC240D6" w14:textId="77777777" w:rsidTr="00D25095">
        <w:trPr>
          <w:trHeight w:val="21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463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кредити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18D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551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5D3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363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968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A71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6D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68C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44B8692" w14:textId="77777777" w:rsidTr="00D25095">
        <w:trPr>
          <w:trHeight w:val="26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CB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позики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E2D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552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FA3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3EF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5C0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108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DA0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DC9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3E5BB7D" w14:textId="77777777" w:rsidTr="00D25095">
        <w:trPr>
          <w:trHeight w:val="25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B7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депозити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C88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553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F81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FBB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DE6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60E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247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9DD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24ABFF3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C6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Інші витрати (розшифрувати)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460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19E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307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5F7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B1E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919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D07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337207B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8C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доходів (з негрошовими надходженнями)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5CFF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7AB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86805,1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B295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88616,1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32F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95616,0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172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88616,1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148E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-6999,9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B62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</w:t>
            </w:r>
          </w:p>
        </w:tc>
      </w:tr>
      <w:tr w:rsidR="00096A8C" w:rsidRPr="00C37A72" w14:paraId="3F18EC3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E38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витрат(з негрошовими надходженнями)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55970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580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556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87679,1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C78A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91362,3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05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95616,0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1E5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91362,3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352F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-4253,7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588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</w:t>
            </w:r>
          </w:p>
        </w:tc>
      </w:tr>
      <w:tr w:rsidR="00096A8C" w:rsidRPr="00C37A72" w14:paraId="5C2CD43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A4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Нерозподілені доходи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C6906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590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DF87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A02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AF25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76C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B95B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B71E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9834D0" w14:paraId="474F5CAA" w14:textId="77777777" w:rsidTr="00E85FF5">
        <w:trPr>
          <w:trHeight w:val="360"/>
          <w:jc w:val="center"/>
        </w:trPr>
        <w:tc>
          <w:tcPr>
            <w:tcW w:w="1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8EA" w14:textId="0E80BE9D" w:rsidR="00096A8C" w:rsidRPr="00C37A72" w:rsidRDefault="00096A8C" w:rsidP="00E85F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V. Розрах</w:t>
            </w:r>
            <w:r w:rsidR="00C37A7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у</w:t>
            </w: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нки з бюджетом (</w:t>
            </w:r>
            <w:r w:rsidRPr="00C37A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 w:eastAsia="uk-UA"/>
              </w:rPr>
              <w:t>Сплата податків, зборів та інших обов’язкових платежів</w:t>
            </w: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)</w:t>
            </w:r>
          </w:p>
        </w:tc>
      </w:tr>
      <w:tr w:rsidR="00096A8C" w:rsidRPr="00C37A72" w14:paraId="759742E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AF90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 w:eastAsia="uk-UA"/>
              </w:rPr>
              <w:lastRenderedPageBreak/>
              <w:t>Сплата податків та зборів до Державного бюджету України ( розшифрувати)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35FDE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B6C6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A763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540A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DC3A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86D2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F8E6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49AD833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CA5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 w:eastAsia="uk-UA"/>
              </w:rPr>
              <w:t>Сплата податків та зборів до місцевих бюджетів(податкові платежі), усього, у 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DB44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9D59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9099,6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0A5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0B6A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9546,1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CC31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9107,0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63F8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-439,1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BC0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096A8C" w:rsidRPr="00C37A72" w14:paraId="2C17B69D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ED14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податок на доходи фізичних осіб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7D5D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183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Cs w:val="24"/>
                <w:lang w:val="uk-UA"/>
              </w:rPr>
              <w:t>9093,2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A24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8F1A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Cs w:val="24"/>
                <w:lang w:val="uk-UA"/>
              </w:rPr>
              <w:t>9543,3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A9A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Cs w:val="24"/>
                <w:lang w:val="uk-UA"/>
              </w:rPr>
              <w:t>9101,2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4644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-442,1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7A2A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096A8C" w:rsidRPr="00C37A72" w14:paraId="4AFEA4F8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7120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земельний податок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1B0C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612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7A3D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38B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1336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ECB9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453E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1FF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B7763D0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8E58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орендна плата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08E0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613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588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D15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D29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BAD5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4DAB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658B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EC2E75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06E4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інші податки та збори (розшифрувати)</w:t>
            </w:r>
          </w:p>
          <w:p w14:paraId="363E3AFC" w14:textId="77777777" w:rsidR="00096A8C" w:rsidRPr="00C37A72" w:rsidRDefault="00096A8C" w:rsidP="00E85FF5">
            <w:pPr>
              <w:pStyle w:val="a6"/>
              <w:numPr>
                <w:ilvl w:val="0"/>
                <w:numId w:val="2"/>
              </w:numPr>
              <w:spacing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за забруднення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9AD9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614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53DB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6B3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7BA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22A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3C1E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953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207</w:t>
            </w:r>
          </w:p>
        </w:tc>
      </w:tr>
      <w:tr w:rsidR="00096A8C" w:rsidRPr="00C37A72" w14:paraId="10BDBE6E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E8A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 w:eastAsia="uk-UA"/>
              </w:rPr>
              <w:t>Інші податки, збори та платежі на користь держави, усього, у 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194A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1BB2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11307,2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1FF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005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11505,5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2FB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12925,5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E44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1420,0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E30A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</w:tr>
      <w:tr w:rsidR="00096A8C" w:rsidRPr="00C37A72" w14:paraId="0D72C8F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3F2D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78A8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AF79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10544,4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812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5D1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10738,8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A79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10403,0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B42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-335,8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967D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70C000F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04B2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інші податки, збори та платежі (військовий збір)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4E22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4C29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762,8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0AB1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C163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766,7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4E17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2522,5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9A9D6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1755,8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55CA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329</w:t>
            </w:r>
          </w:p>
        </w:tc>
      </w:tr>
      <w:tr w:rsidR="00096A8C" w:rsidRPr="00C37A72" w14:paraId="71D1F24D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6B43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 w:eastAsia="uk-UA"/>
              </w:rPr>
              <w:t>Погашення податкового боргу, усього, у 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9A74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3D7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7E2AA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F702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E13D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C9F48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8E7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DDED752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A49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 xml:space="preserve">погашення </w:t>
            </w:r>
            <w:proofErr w:type="spellStart"/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реструктуризованих</w:t>
            </w:r>
            <w:proofErr w:type="spellEnd"/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 xml:space="preserve"> та відстрочених сум, що підлягають сплаті в поточному році до бюджетів та державних цільових фондів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F452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631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D4383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3B79B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916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3227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F2D7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F10A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1483322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39E9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  <w:t>інші (штрафи, пені, неустойки) (розшифрувати)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5604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632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872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A7FF9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36E5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2B4F2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AC3D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719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BBEAA82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0320" w14:textId="77777777" w:rsidR="00096A8C" w:rsidRPr="00C37A72" w:rsidRDefault="00096A8C" w:rsidP="00E85FF5">
            <w:pPr>
              <w:spacing w:after="0" w:line="179" w:lineRule="atLeast"/>
              <w:rPr>
                <w:rFonts w:ascii="Times New Roman" w:hAnsi="Times New Roman"/>
                <w:spacing w:val="-2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uk-UA" w:eastAsia="uk-UA"/>
              </w:rPr>
              <w:t>Усього виплат по розрахунках з бюджетом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C86E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AF5F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7A17C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AF7F4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7005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3F180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49FAE" w14:textId="77777777" w:rsidR="00096A8C" w:rsidRPr="00C37A72" w:rsidRDefault="00096A8C" w:rsidP="00E85F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48DA796" w14:textId="77777777" w:rsidTr="00D25095">
        <w:trPr>
          <w:trHeight w:val="347"/>
          <w:jc w:val="center"/>
        </w:trPr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DF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VI. Додаткова  інформація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42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A4D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 01.01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030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 01.04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25F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 01.07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3E1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 01.10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A52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 01.01.</w:t>
            </w:r>
          </w:p>
          <w:p w14:paraId="722D07B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</w:t>
            </w:r>
          </w:p>
        </w:tc>
      </w:tr>
      <w:tr w:rsidR="00096A8C" w:rsidRPr="00C37A72" w14:paraId="452D0061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0A6" w14:textId="06A17551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Штатна чисельність працівників,</w:t>
            </w:r>
            <w:r w:rsid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CAE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50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468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388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468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11C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468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890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469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E94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F58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2EBF79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55E3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Середня кількість працівників, всього, у тому числі: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DEB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4ED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428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A74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2D1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5EF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415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A03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979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0628A77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01C5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Середньооблікова кількість штатних працівників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B8F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96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419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3B9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414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C04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44A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BB98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674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30047AA6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B721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Середня кількість зовнішніх сумісників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559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4B3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29C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F5A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97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B3D7" w14:textId="77777777" w:rsidR="00096A8C" w:rsidRPr="00C37A72" w:rsidRDefault="00096A8C" w:rsidP="00E85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116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A321E79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5ED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Середня кількість працюючих за цивільно-правовими договорами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23D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120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5F7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484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AE0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FB0B" w14:textId="77777777" w:rsidR="00096A8C" w:rsidRPr="00C37A72" w:rsidRDefault="00096A8C" w:rsidP="00E85FF5">
            <w:pPr>
              <w:rPr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86D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CA5E668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EF48" w14:textId="7B1E6769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Фонд оплати праці, тис.</w:t>
            </w:r>
            <w:r w:rsidR="00C37A7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C37A7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899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C65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2D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E2C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019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0B3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405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7B850A65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0D96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Фонд оплати праці штатних працівників, всього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D2E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2C6C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49232,8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22E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47890,8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881A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51137,3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3304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47890,8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DDB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-3246,5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CCF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</w:tr>
      <w:tr w:rsidR="00096A8C" w:rsidRPr="00C37A72" w14:paraId="6D056D0A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485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Керівники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F7A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E3F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775,6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3ED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816,4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9C38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869,3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C93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816,4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17A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-52,9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F0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</w:tr>
      <w:tr w:rsidR="00096A8C" w:rsidRPr="00C37A72" w14:paraId="572BEE07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117F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Керівники структурних підрозділів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E82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617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2723,3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9DC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2549,6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A473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3068,3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2CDF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2549,6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055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-518,7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FCE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</w:tr>
      <w:tr w:rsidR="00096A8C" w:rsidRPr="00C37A72" w14:paraId="4F72E150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60BA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Лікарі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A5C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6D7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15578,6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C55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15457,3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3FB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16415,0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20632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15457,3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86F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-957,7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045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</w:tr>
      <w:tr w:rsidR="00096A8C" w:rsidRPr="00C37A72" w14:paraId="58AB0280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421" w14:textId="2AD5BBB0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 медичний персонал (в</w:t>
            </w:r>
            <w:r w:rsid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тому</w:t>
            </w:r>
            <w:r w:rsid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числі фельдшери, парамедики)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763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5E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20677,7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87B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20314,6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8566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21119,7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4EB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20314,6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2A0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-805,1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72E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</w:tr>
      <w:tr w:rsidR="00096A8C" w:rsidRPr="00C37A72" w14:paraId="5CA3CC28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8A2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Молодший медичний персонал/прибиральники службових приміщень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CA6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1CF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3184,1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505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3172,9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A3B9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3272,8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B7B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3172,9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BFB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-99,9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B51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</w:tr>
      <w:tr w:rsidR="00096A8C" w:rsidRPr="00C37A72" w14:paraId="6DD00F3B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F92B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Інші працівники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A9E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077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6293,5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466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5580,0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E0DF" w14:textId="77777777" w:rsidR="00096A8C" w:rsidRPr="00C37A72" w:rsidRDefault="00096A8C" w:rsidP="00E85FF5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7A72">
              <w:rPr>
                <w:rFonts w:ascii="Times New Roman" w:hAnsi="Times New Roman" w:cs="Times New Roman"/>
                <w:lang w:val="uk-UA"/>
              </w:rPr>
              <w:t>6392,2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5AEF8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5580,0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F69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-812,2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C54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87 </w:t>
            </w:r>
          </w:p>
        </w:tc>
      </w:tr>
      <w:tr w:rsidR="00096A8C" w:rsidRPr="00C37A72" w14:paraId="0426A061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2D90" w14:textId="77777777" w:rsidR="00096A8C" w:rsidRPr="00C37A72" w:rsidRDefault="00096A8C" w:rsidP="00E85FF5">
            <w:pPr>
              <w:spacing w:after="0" w:line="161" w:lineRule="atLeas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Рівень середньомісячної заробітної плати, грн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D32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E02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E3F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B7C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F319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C92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43C4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4F5E51B0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6B79" w14:textId="77777777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Середньомісячна заробітна плата одного штатного працівника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F0A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F00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BB1F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5CCA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20,1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2AAFE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19,7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48B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5345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98B8603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9BAF" w14:textId="648E24F4" w:rsidR="00096A8C" w:rsidRPr="00C37A72" w:rsidRDefault="00096A8C" w:rsidP="00E85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Середньомісячна заробітна плата одного штатного працівника в еквіваленті повної</w:t>
            </w:r>
            <w:r w:rsidR="00C37A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зайнятості (з розрахунку 40-годинного робочого тижня)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851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920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3273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5737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D956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22,5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C7190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796D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BD1" w14:textId="77777777" w:rsidR="00096A8C" w:rsidRPr="00C37A72" w:rsidRDefault="00096A8C" w:rsidP="00E85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2271BEF4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E6B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310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930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994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7B9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A73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E47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900F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AF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</w:tr>
      <w:tr w:rsidR="00096A8C" w:rsidRPr="00C37A72" w14:paraId="79E3BB22" w14:textId="77777777" w:rsidTr="00D25095">
        <w:trPr>
          <w:trHeight w:val="36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F1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Залишкова вартість основних засобів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E5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B5D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E27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AE9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D6D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B29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A16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601184FC" w14:textId="77777777" w:rsidTr="00D25095">
        <w:trPr>
          <w:trHeight w:val="42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0B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548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7E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F40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8EDA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56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FAD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C6D4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526244A2" w14:textId="77777777" w:rsidTr="00D25095">
        <w:trPr>
          <w:trHeight w:val="52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ACD0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654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E96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4B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BEB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A93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719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EBA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62FA5EDD" w14:textId="77777777" w:rsidTr="00D25095">
        <w:trPr>
          <w:trHeight w:val="52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CD33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Дебіторська заборгованість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E8E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DBC8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808,9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56D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E92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201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8512,8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DE4B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89FC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6A8C" w:rsidRPr="00C37A72" w14:paraId="63DC0DD3" w14:textId="77777777" w:rsidTr="00D25095">
        <w:trPr>
          <w:trHeight w:val="52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27B7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Кредиторська заборгованість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72B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980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C602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79,7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EC41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55EE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4D8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7A72">
              <w:rPr>
                <w:rFonts w:ascii="Times New Roman" w:hAnsi="Times New Roman"/>
                <w:sz w:val="24"/>
                <w:szCs w:val="24"/>
                <w:lang w:val="uk-UA"/>
              </w:rPr>
              <w:t>441,8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D5A5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CFFD" w14:textId="77777777" w:rsidR="00096A8C" w:rsidRPr="00C37A72" w:rsidRDefault="00096A8C" w:rsidP="00E85FF5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C0B4DAB" w14:textId="77777777" w:rsidR="00096A8C" w:rsidRPr="00C37A72" w:rsidRDefault="00096A8C" w:rsidP="00096A8C">
      <w:pPr>
        <w:shd w:val="clear" w:color="auto" w:fill="FFFFFF"/>
        <w:spacing w:after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7A72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14:paraId="28AF4FD2" w14:textId="77777777" w:rsidR="00096A8C" w:rsidRPr="00C37A72" w:rsidRDefault="00096A8C" w:rsidP="00096A8C">
      <w:pPr>
        <w:shd w:val="clear" w:color="auto" w:fill="FFFFFF"/>
        <w:spacing w:after="3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  <w:sectPr w:rsidR="00096A8C" w:rsidRPr="00C37A72" w:rsidSect="00E85FF5">
          <w:pgSz w:w="16840" w:h="11907" w:orient="landscape" w:code="9"/>
          <w:pgMar w:top="567" w:right="567" w:bottom="1418" w:left="567" w:header="709" w:footer="709" w:gutter="0"/>
          <w:cols w:space="708"/>
          <w:docGrid w:linePitch="360"/>
        </w:sectPr>
      </w:pPr>
      <w:r w:rsidRPr="00C37A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ermStart w:id="1114187863" w:edGrp="everyone"/>
      <w:r w:rsidRPr="00C37A72">
        <w:rPr>
          <w:rFonts w:ascii="Times New Roman" w:hAnsi="Times New Roman"/>
          <w:b/>
          <w:sz w:val="28"/>
          <w:szCs w:val="28"/>
          <w:lang w:val="uk-UA"/>
        </w:rPr>
        <w:t>В.о. г</w:t>
      </w:r>
      <w:r w:rsidRPr="00C37A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енерального директора                                                       Оксана КАРБІВСЬКА</w:t>
      </w:r>
    </w:p>
    <w:permEnd w:id="1114187863"/>
    <w:p w14:paraId="6895F5B1" w14:textId="77777777" w:rsidR="00D776BA" w:rsidRPr="00C37A72" w:rsidRDefault="00D776BA" w:rsidP="00D776B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14:paraId="5BFF6F4D" w14:textId="77777777" w:rsidR="00D776BA" w:rsidRPr="00C37A72" w:rsidRDefault="00D776BA" w:rsidP="00D77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37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звіту про </w:t>
      </w:r>
      <w:r w:rsidRPr="00C3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виконання фінансового плану  за  перше півріччя 2025 року комунального </w:t>
      </w:r>
      <w:r w:rsidRPr="00C3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некомерційного</w:t>
      </w:r>
      <w:r w:rsidRPr="00C3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C3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підприємства «Долинська </w:t>
      </w:r>
      <w:r w:rsidRPr="00C3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C3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багатопрофільна лікарня»</w:t>
      </w:r>
      <w:r w:rsidRPr="00C3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C3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Долинської міської ради»</w:t>
      </w:r>
    </w:p>
    <w:p w14:paraId="715DBB4E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val="uk-UA"/>
        </w:rPr>
      </w:pPr>
    </w:p>
    <w:p w14:paraId="33E7937A" w14:textId="77777777" w:rsidR="00D776BA" w:rsidRPr="00C37A72" w:rsidRDefault="00D776BA" w:rsidP="00D776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bookmarkStart w:id="2" w:name="_Hlk166660667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півріччя 2025року</w:t>
      </w:r>
      <w:bookmarkEnd w:id="2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підприємство  планувало отримати доходи в загальній сумі </w:t>
      </w:r>
      <w:r w:rsidRPr="00C37A72">
        <w:rPr>
          <w:rFonts w:ascii="Times New Roman" w:hAnsi="Times New Roman"/>
          <w:bCs/>
          <w:sz w:val="24"/>
          <w:szCs w:val="24"/>
          <w:lang w:val="uk-UA"/>
        </w:rPr>
        <w:t xml:space="preserve">93837,4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фактично отримано дохід в сумі </w:t>
      </w:r>
      <w:r w:rsidRPr="00C37A72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82127,3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 грн, що становить 88%  плану. </w:t>
      </w:r>
    </w:p>
    <w:p w14:paraId="561177C6" w14:textId="77777777" w:rsidR="00D776BA" w:rsidRPr="00C37A72" w:rsidRDefault="00D776BA" w:rsidP="00D776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Негрошові надходження (надходження в натуральній формі) за перше півріччя 2025року становлять 6488,8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</w:p>
    <w:p w14:paraId="772CD991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Дохідна   частина  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КНП «Долинська багатопрофільна лікарня»  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складає </w:t>
      </w:r>
      <w:r w:rsidRPr="00C37A72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82127,3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тис.грн, в тому числі: </w:t>
      </w:r>
    </w:p>
    <w:p w14:paraId="0EA38C6F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- доходи   від реалізації послуг з медичного обслуговування за програмою медичних  гарантій, згідно з договором з Національною службою здоров’я України -  72859,8</w:t>
      </w:r>
      <w:r w:rsidRPr="00C37A7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тис.грн (є о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сновною дохідною  частинною підприємства);</w:t>
      </w:r>
    </w:p>
    <w:p w14:paraId="334F426F" w14:textId="77777777" w:rsidR="00D776BA" w:rsidRPr="00C37A72" w:rsidRDefault="00D776BA" w:rsidP="00D776BA">
      <w:pPr>
        <w:tabs>
          <w:tab w:val="left" w:pos="10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-дохід з місцевого бюджету цільового фінансування  - 5968,0тис.грн;</w:t>
      </w:r>
    </w:p>
    <w:p w14:paraId="02B47A70" w14:textId="77777777" w:rsidR="00D776BA" w:rsidRPr="00C37A72" w:rsidRDefault="00D776BA" w:rsidP="00D776BA">
      <w:pPr>
        <w:tabs>
          <w:tab w:val="left" w:pos="1035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обласна субвенція – 300,0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</w:p>
    <w:p w14:paraId="60C9D38E" w14:textId="77777777" w:rsidR="00D776BA" w:rsidRPr="00C37A72" w:rsidRDefault="00D776BA" w:rsidP="00D776BA">
      <w:pPr>
        <w:tabs>
          <w:tab w:val="left" w:pos="10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 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дохід  від  надання  платних  послуг – 1470,2</w:t>
      </w:r>
      <w:r w:rsidRPr="00C37A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тис.грн, </w:t>
      </w:r>
    </w:p>
    <w:p w14:paraId="39C5E99F" w14:textId="77777777" w:rsidR="00D776BA" w:rsidRPr="00C37A72" w:rsidRDefault="00D776BA" w:rsidP="00D776BA">
      <w:pPr>
        <w:tabs>
          <w:tab w:val="left" w:pos="1035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 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відшкодування за оплату комунальних послуг –  298,7</w:t>
      </w:r>
      <w:r w:rsidRPr="00C37A7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тис.грн;</w:t>
      </w:r>
    </w:p>
    <w:p w14:paraId="78A04CFA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відшкодування страхування з тимчасової втрати працездатності – 1083,7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8B61951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відшкодування вартості харчування військовослужбовців – 242,2 тис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ггрн</w:t>
      </w:r>
      <w:proofErr w:type="spellEnd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CF61410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інші відшкодування – 203,4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6C8945" w14:textId="77777777" w:rsidR="00D776BA" w:rsidRPr="00C37A72" w:rsidRDefault="00D776BA" w:rsidP="00D776B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Видаткова частина 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становить 82346,9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(97%) та складаються із наступних статей витрат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29DB05A4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«Медикаменти та перев’язувальні матеріали» - 10674,8 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(101%)</w:t>
      </w:r>
    </w:p>
    <w:p w14:paraId="52743BCB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«Предмети, матеріали, обладнання та інвентар» - 811,0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(86%) </w:t>
      </w:r>
    </w:p>
    <w:p w14:paraId="5026C512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«Витрати на палило-мастильні   матеріали» - 279,0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(118%)</w:t>
      </w:r>
    </w:p>
    <w:p w14:paraId="7A6313B6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«Продукти харчування» - 19,2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(5%)</w:t>
      </w:r>
    </w:p>
    <w:p w14:paraId="45F81498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«Оплата послуг (крім комунальних)» - 4301,8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(132%) перевиконання зумовлено тим, що з 01 січня 2025 року надаються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кайтерингові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послуги по харчуванню. Відповідно, витрати на придбання продуктів харчування не проводяться.</w:t>
      </w:r>
    </w:p>
    <w:p w14:paraId="593ADF36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«Оплата комунальних послуг та енергоносіїв» - 4603,3тис.грн (81%)</w:t>
      </w:r>
    </w:p>
    <w:p w14:paraId="42920C35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«Витрати на оплату праці» - 49512,3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(97%)</w:t>
      </w:r>
    </w:p>
    <w:p w14:paraId="77EB352D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«Нарахування на оплату праці» - 10370,6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(95%)</w:t>
      </w:r>
    </w:p>
    <w:p w14:paraId="1563FD15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«Витрати на відрядження</w:t>
      </w:r>
      <w:r w:rsidRPr="00C37A7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» - 43,4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(35%)</w:t>
      </w:r>
    </w:p>
    <w:p w14:paraId="37F0BA50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«Витрати, що здійснюються для підтримання об’єкта в робочому стані (проведення поточного ремонту)» - 65,2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292864EF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«Відшкодування ФСС»  - 1083,7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</w:p>
    <w:p w14:paraId="0DB4DE73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«Інші витрати» – 47,8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6EC6890A" w14:textId="77777777" w:rsidR="00D776BA" w:rsidRPr="00C37A72" w:rsidRDefault="00D776BA" w:rsidP="00D776B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C37A7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Капітальні інвестиції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C37A72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2526,6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тис.грн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(проектно-кошторисна документація, комп’ютерна програма,</w:t>
      </w:r>
      <w:r w:rsidRPr="00C37A72">
        <w:rPr>
          <w:sz w:val="24"/>
          <w:szCs w:val="24"/>
          <w:lang w:val="uk-UA"/>
        </w:rPr>
        <w:t xml:space="preserve"> </w:t>
      </w:r>
      <w:proofErr w:type="spellStart"/>
      <w:r w:rsidRPr="00C37A7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онвексний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датчик 1-7 МГц, капітальний ремонт приміщення реабілітації)</w:t>
      </w:r>
    </w:p>
    <w:p w14:paraId="5184255D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Розподіл негрошових надходжень (6488,8тис.грн): </w:t>
      </w:r>
    </w:p>
    <w:p w14:paraId="559A4DCE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«Негрошові надходження (</w:t>
      </w:r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медикаменти та перев’язувальні  матеріали</w:t>
      </w: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)» – 1165,9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</w:p>
    <w:p w14:paraId="1BA7BCB1" w14:textId="77777777" w:rsidR="00D776BA" w:rsidRPr="00C37A72" w:rsidRDefault="00D776BA" w:rsidP="00D776BA">
      <w:pPr>
        <w:tabs>
          <w:tab w:val="left" w:pos="10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«Негрошові надходження (предмети, матеріали)» – 1357,7 </w:t>
      </w:r>
      <w:proofErr w:type="spellStart"/>
      <w:r w:rsidRPr="00C37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</w:p>
    <w:p w14:paraId="0CFE9883" w14:textId="77777777" w:rsidR="00D776BA" w:rsidRPr="00C37A72" w:rsidRDefault="00D776BA" w:rsidP="00D776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7A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«Негрошові надходження (придбання основних засобів)» – 3965,2тис.грн (столи реабілітаційні для терапії, операційна лампа, холодильники, дефібрилятор, насос для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ентерального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годування, всмоктувальний насос,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уретерореноскоп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венозні сканери,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відеокольпоскоп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біполярний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резектоскоп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телескоп для </w:t>
      </w:r>
      <w:proofErr w:type="spellStart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резектоскопа</w:t>
      </w:r>
      <w:proofErr w:type="spellEnd"/>
      <w:r w:rsidRPr="00C37A72">
        <w:rPr>
          <w:rFonts w:ascii="Times New Roman" w:eastAsia="Calibri" w:hAnsi="Times New Roman" w:cs="Times New Roman"/>
          <w:sz w:val="24"/>
          <w:szCs w:val="24"/>
          <w:lang w:val="uk-UA"/>
        </w:rPr>
        <w:t>, ноутбуки, монітори пацієнта, система вентиляції легень зі стійкою).</w:t>
      </w:r>
    </w:p>
    <w:p w14:paraId="1E2D94A3" w14:textId="77777777" w:rsidR="00D776BA" w:rsidRPr="00C37A72" w:rsidRDefault="00D776BA" w:rsidP="00D776BA">
      <w:pPr>
        <w:shd w:val="clear" w:color="auto" w:fill="FFFFFF"/>
        <w:spacing w:after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37A7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3F34A32E" w14:textId="468F7BA7" w:rsidR="0029475D" w:rsidRPr="00C37A72" w:rsidRDefault="00D776BA" w:rsidP="00A03D20">
      <w:pPr>
        <w:shd w:val="clear" w:color="auto" w:fill="FFFFFF"/>
        <w:spacing w:after="360"/>
        <w:jc w:val="both"/>
        <w:rPr>
          <w:rFonts w:ascii="Times New Roman" w:eastAsia="Calibri" w:hAnsi="Times New Roman" w:cs="Times New Roman"/>
          <w:b/>
          <w:lang w:val="uk-UA"/>
        </w:rPr>
      </w:pPr>
      <w:r w:rsidRPr="00C37A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В.о. генерального директора                                                     Оксана КАРБІВСЬКА</w:t>
      </w:r>
    </w:p>
    <w:sectPr w:rsidR="0029475D" w:rsidRPr="00C37A72" w:rsidSect="00A03D20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1385E"/>
    <w:multiLevelType w:val="hybridMultilevel"/>
    <w:tmpl w:val="C674E586"/>
    <w:lvl w:ilvl="0" w:tplc="14F41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B3CE5"/>
    <w:multiLevelType w:val="hybridMultilevel"/>
    <w:tmpl w:val="FFBC70C8"/>
    <w:lvl w:ilvl="0" w:tplc="357C2A08">
      <w:start w:val="7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7E"/>
    <w:rsid w:val="00006467"/>
    <w:rsid w:val="0002418C"/>
    <w:rsid w:val="00030FFA"/>
    <w:rsid w:val="00047500"/>
    <w:rsid w:val="0007383B"/>
    <w:rsid w:val="000805EF"/>
    <w:rsid w:val="0008373C"/>
    <w:rsid w:val="0008524B"/>
    <w:rsid w:val="00096A8C"/>
    <w:rsid w:val="000A664F"/>
    <w:rsid w:val="000A7F7E"/>
    <w:rsid w:val="000B0AA0"/>
    <w:rsid w:val="000B5AF3"/>
    <w:rsid w:val="000E01C4"/>
    <w:rsid w:val="000E6CDC"/>
    <w:rsid w:val="00106310"/>
    <w:rsid w:val="00107598"/>
    <w:rsid w:val="00116C7E"/>
    <w:rsid w:val="00123D99"/>
    <w:rsid w:val="00124A7B"/>
    <w:rsid w:val="00127F0B"/>
    <w:rsid w:val="00140C6F"/>
    <w:rsid w:val="00151F87"/>
    <w:rsid w:val="001568B5"/>
    <w:rsid w:val="00156FE0"/>
    <w:rsid w:val="0016551E"/>
    <w:rsid w:val="00180FA9"/>
    <w:rsid w:val="001870C2"/>
    <w:rsid w:val="00190A79"/>
    <w:rsid w:val="00195AAC"/>
    <w:rsid w:val="0019757B"/>
    <w:rsid w:val="001A76E1"/>
    <w:rsid w:val="001D0225"/>
    <w:rsid w:val="001D4D9C"/>
    <w:rsid w:val="001E09FD"/>
    <w:rsid w:val="001E2620"/>
    <w:rsid w:val="001F1770"/>
    <w:rsid w:val="001F3233"/>
    <w:rsid w:val="00210804"/>
    <w:rsid w:val="00217467"/>
    <w:rsid w:val="002174D9"/>
    <w:rsid w:val="00233B02"/>
    <w:rsid w:val="00245541"/>
    <w:rsid w:val="002520FF"/>
    <w:rsid w:val="00270201"/>
    <w:rsid w:val="0027593B"/>
    <w:rsid w:val="00275AE0"/>
    <w:rsid w:val="0029475D"/>
    <w:rsid w:val="002A1F06"/>
    <w:rsid w:val="002A2318"/>
    <w:rsid w:val="002A2DAA"/>
    <w:rsid w:val="002A3B0E"/>
    <w:rsid w:val="002A556A"/>
    <w:rsid w:val="002C47EE"/>
    <w:rsid w:val="002E2F1C"/>
    <w:rsid w:val="002F1489"/>
    <w:rsid w:val="002F48E7"/>
    <w:rsid w:val="002F6C3A"/>
    <w:rsid w:val="00313F91"/>
    <w:rsid w:val="00352C23"/>
    <w:rsid w:val="00361BE7"/>
    <w:rsid w:val="003662F7"/>
    <w:rsid w:val="00374A78"/>
    <w:rsid w:val="00393593"/>
    <w:rsid w:val="003A353D"/>
    <w:rsid w:val="003A44B0"/>
    <w:rsid w:val="003A51E6"/>
    <w:rsid w:val="003D3BDF"/>
    <w:rsid w:val="003D5FB6"/>
    <w:rsid w:val="003E0294"/>
    <w:rsid w:val="00406F66"/>
    <w:rsid w:val="00411F0C"/>
    <w:rsid w:val="0042686F"/>
    <w:rsid w:val="004371A1"/>
    <w:rsid w:val="004410D2"/>
    <w:rsid w:val="00476DD4"/>
    <w:rsid w:val="00495D72"/>
    <w:rsid w:val="004A01B9"/>
    <w:rsid w:val="004D2097"/>
    <w:rsid w:val="004D20C4"/>
    <w:rsid w:val="004F38D2"/>
    <w:rsid w:val="004F72AA"/>
    <w:rsid w:val="00502E99"/>
    <w:rsid w:val="005042CA"/>
    <w:rsid w:val="00513BD4"/>
    <w:rsid w:val="00514957"/>
    <w:rsid w:val="00530456"/>
    <w:rsid w:val="00545CC7"/>
    <w:rsid w:val="00550324"/>
    <w:rsid w:val="00560FE2"/>
    <w:rsid w:val="00565BF3"/>
    <w:rsid w:val="00584249"/>
    <w:rsid w:val="005F7371"/>
    <w:rsid w:val="006028CD"/>
    <w:rsid w:val="00610516"/>
    <w:rsid w:val="00615146"/>
    <w:rsid w:val="006234E0"/>
    <w:rsid w:val="0063773B"/>
    <w:rsid w:val="00652FBB"/>
    <w:rsid w:val="00671D71"/>
    <w:rsid w:val="006747E2"/>
    <w:rsid w:val="006B213E"/>
    <w:rsid w:val="006B724A"/>
    <w:rsid w:val="00741BD3"/>
    <w:rsid w:val="0074235C"/>
    <w:rsid w:val="00742C10"/>
    <w:rsid w:val="0074643A"/>
    <w:rsid w:val="00752121"/>
    <w:rsid w:val="0075501F"/>
    <w:rsid w:val="00766AB3"/>
    <w:rsid w:val="0077662E"/>
    <w:rsid w:val="00776EC3"/>
    <w:rsid w:val="007E4DFD"/>
    <w:rsid w:val="007F135A"/>
    <w:rsid w:val="007F46C2"/>
    <w:rsid w:val="00804457"/>
    <w:rsid w:val="00815277"/>
    <w:rsid w:val="008304AE"/>
    <w:rsid w:val="00830A5D"/>
    <w:rsid w:val="0083185D"/>
    <w:rsid w:val="00855822"/>
    <w:rsid w:val="00860A3D"/>
    <w:rsid w:val="00870402"/>
    <w:rsid w:val="00881F46"/>
    <w:rsid w:val="00882479"/>
    <w:rsid w:val="008829FF"/>
    <w:rsid w:val="008835B0"/>
    <w:rsid w:val="00884061"/>
    <w:rsid w:val="008877FE"/>
    <w:rsid w:val="00887B3D"/>
    <w:rsid w:val="00892B3E"/>
    <w:rsid w:val="008940E0"/>
    <w:rsid w:val="00894F6A"/>
    <w:rsid w:val="00895347"/>
    <w:rsid w:val="008B4E65"/>
    <w:rsid w:val="008C3F9C"/>
    <w:rsid w:val="008D15F8"/>
    <w:rsid w:val="008D22A8"/>
    <w:rsid w:val="008D3D9D"/>
    <w:rsid w:val="008D43A5"/>
    <w:rsid w:val="008E4D7C"/>
    <w:rsid w:val="009123EC"/>
    <w:rsid w:val="009175FE"/>
    <w:rsid w:val="00927C4B"/>
    <w:rsid w:val="00942166"/>
    <w:rsid w:val="00965C94"/>
    <w:rsid w:val="009834D0"/>
    <w:rsid w:val="009874BF"/>
    <w:rsid w:val="009B124B"/>
    <w:rsid w:val="009B24B9"/>
    <w:rsid w:val="009B483F"/>
    <w:rsid w:val="009B7814"/>
    <w:rsid w:val="009B7859"/>
    <w:rsid w:val="009D0F79"/>
    <w:rsid w:val="009E3779"/>
    <w:rsid w:val="009E5129"/>
    <w:rsid w:val="009F54FD"/>
    <w:rsid w:val="009F7A2C"/>
    <w:rsid w:val="009F7B1A"/>
    <w:rsid w:val="00A03D20"/>
    <w:rsid w:val="00A076FE"/>
    <w:rsid w:val="00A12383"/>
    <w:rsid w:val="00A20EDC"/>
    <w:rsid w:val="00A2663A"/>
    <w:rsid w:val="00A35779"/>
    <w:rsid w:val="00A540C9"/>
    <w:rsid w:val="00A62E88"/>
    <w:rsid w:val="00A86CD9"/>
    <w:rsid w:val="00AA07A9"/>
    <w:rsid w:val="00AA0CA2"/>
    <w:rsid w:val="00AB3004"/>
    <w:rsid w:val="00AB41B2"/>
    <w:rsid w:val="00AB6126"/>
    <w:rsid w:val="00AD175B"/>
    <w:rsid w:val="00B01C6F"/>
    <w:rsid w:val="00B06774"/>
    <w:rsid w:val="00B3018B"/>
    <w:rsid w:val="00B302DC"/>
    <w:rsid w:val="00B40583"/>
    <w:rsid w:val="00B465A6"/>
    <w:rsid w:val="00B51530"/>
    <w:rsid w:val="00B800EB"/>
    <w:rsid w:val="00BA20E0"/>
    <w:rsid w:val="00BA77CB"/>
    <w:rsid w:val="00BD0293"/>
    <w:rsid w:val="00BD4F11"/>
    <w:rsid w:val="00BD525B"/>
    <w:rsid w:val="00BE7CCC"/>
    <w:rsid w:val="00BF05E1"/>
    <w:rsid w:val="00BF1FB3"/>
    <w:rsid w:val="00C10784"/>
    <w:rsid w:val="00C147C3"/>
    <w:rsid w:val="00C33E65"/>
    <w:rsid w:val="00C37A72"/>
    <w:rsid w:val="00C4707A"/>
    <w:rsid w:val="00C62168"/>
    <w:rsid w:val="00C65E02"/>
    <w:rsid w:val="00C82495"/>
    <w:rsid w:val="00CA793D"/>
    <w:rsid w:val="00CC55EE"/>
    <w:rsid w:val="00CD3032"/>
    <w:rsid w:val="00CD4DA0"/>
    <w:rsid w:val="00D12BAA"/>
    <w:rsid w:val="00D2414E"/>
    <w:rsid w:val="00D25095"/>
    <w:rsid w:val="00D436EB"/>
    <w:rsid w:val="00D44335"/>
    <w:rsid w:val="00D633C4"/>
    <w:rsid w:val="00D73C9B"/>
    <w:rsid w:val="00D776BA"/>
    <w:rsid w:val="00D901CA"/>
    <w:rsid w:val="00DC06D3"/>
    <w:rsid w:val="00DE1FE3"/>
    <w:rsid w:val="00DE3AC4"/>
    <w:rsid w:val="00DE72D8"/>
    <w:rsid w:val="00DF2513"/>
    <w:rsid w:val="00E02404"/>
    <w:rsid w:val="00E1792E"/>
    <w:rsid w:val="00E21AE2"/>
    <w:rsid w:val="00E4113A"/>
    <w:rsid w:val="00E6044B"/>
    <w:rsid w:val="00E64528"/>
    <w:rsid w:val="00E64824"/>
    <w:rsid w:val="00E771D6"/>
    <w:rsid w:val="00E8013A"/>
    <w:rsid w:val="00E85FF5"/>
    <w:rsid w:val="00E87B77"/>
    <w:rsid w:val="00E97F7B"/>
    <w:rsid w:val="00EA30A4"/>
    <w:rsid w:val="00EB04F0"/>
    <w:rsid w:val="00EB1562"/>
    <w:rsid w:val="00EB240B"/>
    <w:rsid w:val="00EB3318"/>
    <w:rsid w:val="00EC6729"/>
    <w:rsid w:val="00EC6884"/>
    <w:rsid w:val="00ED3996"/>
    <w:rsid w:val="00ED3B96"/>
    <w:rsid w:val="00ED4401"/>
    <w:rsid w:val="00ED4A43"/>
    <w:rsid w:val="00EE12D6"/>
    <w:rsid w:val="00EF0F45"/>
    <w:rsid w:val="00EF3F3F"/>
    <w:rsid w:val="00F114CD"/>
    <w:rsid w:val="00F209FA"/>
    <w:rsid w:val="00F247FA"/>
    <w:rsid w:val="00F254D2"/>
    <w:rsid w:val="00F361FB"/>
    <w:rsid w:val="00F36BC1"/>
    <w:rsid w:val="00F374BD"/>
    <w:rsid w:val="00F55ED4"/>
    <w:rsid w:val="00F56E43"/>
    <w:rsid w:val="00F62399"/>
    <w:rsid w:val="00F7396C"/>
    <w:rsid w:val="00F7443D"/>
    <w:rsid w:val="00F862C5"/>
    <w:rsid w:val="00F94066"/>
    <w:rsid w:val="00F96EE3"/>
    <w:rsid w:val="00FA4023"/>
    <w:rsid w:val="00FA6482"/>
    <w:rsid w:val="00FA72DF"/>
    <w:rsid w:val="00FB0361"/>
    <w:rsid w:val="00FB060E"/>
    <w:rsid w:val="00FB2224"/>
    <w:rsid w:val="00FC0497"/>
    <w:rsid w:val="00FC33B9"/>
    <w:rsid w:val="00FC364A"/>
    <w:rsid w:val="00FC6568"/>
    <w:rsid w:val="00FD4D5E"/>
    <w:rsid w:val="00FE2A03"/>
    <w:rsid w:val="00FF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48D8"/>
  <w15:docId w15:val="{5C06F34C-E22A-4D4B-91D3-9F86D6A9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0ED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34E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4707A"/>
    <w:pPr>
      <w:spacing w:after="0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C4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4B0E-7EF3-4082-9FE5-CFE757F7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9996</Words>
  <Characters>5699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Admin-Laptop</dc:creator>
  <cp:lastModifiedBy>Admin</cp:lastModifiedBy>
  <cp:revision>2</cp:revision>
  <cp:lastPrinted>2023-08-31T12:20:00Z</cp:lastPrinted>
  <dcterms:created xsi:type="dcterms:W3CDTF">2025-10-22T11:20:00Z</dcterms:created>
  <dcterms:modified xsi:type="dcterms:W3CDTF">2025-10-22T11:20:00Z</dcterms:modified>
</cp:coreProperties>
</file>