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A8" w:rsidRPr="00001A43" w:rsidRDefault="00C817A8" w:rsidP="00D3257B">
      <w:pPr>
        <w:shd w:val="clear" w:color="auto" w:fill="FFFFFF"/>
        <w:spacing w:after="0" w:line="240" w:lineRule="auto"/>
        <w:jc w:val="center"/>
        <w:rPr>
          <w:rFonts w:ascii="Times New Roman" w:eastAsia="Times New Roman" w:hAnsi="Times New Roman" w:cs="Times New Roman"/>
          <w:color w:val="303135"/>
          <w:sz w:val="28"/>
          <w:szCs w:val="28"/>
          <w:lang w:eastAsia="uk-UA"/>
        </w:rPr>
      </w:pPr>
    </w:p>
    <w:p w:rsidR="00E20BF0" w:rsidRPr="005D3C65" w:rsidRDefault="003F7C88" w:rsidP="00D3257B">
      <w:pPr>
        <w:shd w:val="clear" w:color="auto" w:fill="FFFFFF"/>
        <w:spacing w:after="0" w:line="240" w:lineRule="auto"/>
        <w:ind w:left="2832" w:firstLine="708"/>
        <w:textAlignment w:val="baseline"/>
        <w:rPr>
          <w:rFonts w:ascii="Times New Roman" w:eastAsia="Times New Roman" w:hAnsi="Times New Roman" w:cs="Times New Roman"/>
          <w:b/>
          <w:bCs/>
          <w:color w:val="000000"/>
          <w:sz w:val="28"/>
          <w:szCs w:val="28"/>
          <w:bdr w:val="none" w:sz="0" w:space="0" w:color="auto" w:frame="1"/>
          <w:lang w:eastAsia="uk-UA"/>
        </w:rPr>
      </w:pPr>
      <w:r w:rsidRPr="005D3C65">
        <w:rPr>
          <w:rFonts w:ascii="Times New Roman" w:eastAsia="Times New Roman" w:hAnsi="Times New Roman" w:cs="Times New Roman"/>
          <w:b/>
          <w:bCs/>
          <w:color w:val="000000"/>
          <w:sz w:val="28"/>
          <w:szCs w:val="28"/>
          <w:bdr w:val="none" w:sz="0" w:space="0" w:color="auto" w:frame="1"/>
          <w:lang w:eastAsia="uk-UA"/>
        </w:rPr>
        <w:t>Аналіз</w:t>
      </w:r>
    </w:p>
    <w:p w:rsidR="003F7C88" w:rsidRPr="005D3C65" w:rsidRDefault="003F7C88" w:rsidP="00D3257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xml:space="preserve">регуляторного впливу до проекту рішення </w:t>
      </w:r>
      <w:proofErr w:type="spellStart"/>
      <w:r w:rsidR="00437CF9" w:rsidRPr="005D3C65">
        <w:rPr>
          <w:rFonts w:ascii="Times New Roman" w:eastAsia="Times New Roman" w:hAnsi="Times New Roman" w:cs="Times New Roman"/>
          <w:b/>
          <w:bCs/>
          <w:color w:val="000000"/>
          <w:sz w:val="28"/>
          <w:szCs w:val="28"/>
          <w:bdr w:val="none" w:sz="0" w:space="0" w:color="auto" w:frame="1"/>
          <w:lang w:eastAsia="uk-UA"/>
        </w:rPr>
        <w:t>Долинської</w:t>
      </w:r>
      <w:proofErr w:type="spellEnd"/>
      <w:r w:rsidR="00437CF9" w:rsidRPr="005D3C65">
        <w:rPr>
          <w:rFonts w:ascii="Times New Roman" w:eastAsia="Times New Roman" w:hAnsi="Times New Roman" w:cs="Times New Roman"/>
          <w:b/>
          <w:bCs/>
          <w:color w:val="000000"/>
          <w:sz w:val="28"/>
          <w:szCs w:val="28"/>
          <w:bdr w:val="none" w:sz="0" w:space="0" w:color="auto" w:frame="1"/>
          <w:lang w:eastAsia="uk-UA"/>
        </w:rPr>
        <w:t xml:space="preserve"> </w:t>
      </w:r>
      <w:r w:rsidRPr="005D3C65">
        <w:rPr>
          <w:rFonts w:ascii="Times New Roman" w:eastAsia="Times New Roman" w:hAnsi="Times New Roman" w:cs="Times New Roman"/>
          <w:b/>
          <w:bCs/>
          <w:color w:val="000000"/>
          <w:sz w:val="28"/>
          <w:szCs w:val="28"/>
          <w:bdr w:val="none" w:sz="0" w:space="0" w:color="auto" w:frame="1"/>
          <w:lang w:eastAsia="uk-UA"/>
        </w:rPr>
        <w:t xml:space="preserve">міської ради «Про затвердження Правил благоустрою території </w:t>
      </w:r>
      <w:proofErr w:type="spellStart"/>
      <w:r w:rsidR="003D6D9E" w:rsidRPr="005D3C65">
        <w:rPr>
          <w:rFonts w:ascii="Times New Roman" w:eastAsia="Times New Roman" w:hAnsi="Times New Roman" w:cs="Times New Roman"/>
          <w:b/>
          <w:bCs/>
          <w:color w:val="000000"/>
          <w:sz w:val="28"/>
          <w:szCs w:val="28"/>
          <w:bdr w:val="none" w:sz="0" w:space="0" w:color="auto" w:frame="1"/>
          <w:lang w:eastAsia="uk-UA"/>
        </w:rPr>
        <w:t>Долинської</w:t>
      </w:r>
      <w:proofErr w:type="spellEnd"/>
      <w:r w:rsidR="003D6D9E" w:rsidRPr="005D3C65">
        <w:rPr>
          <w:rFonts w:ascii="Times New Roman" w:eastAsia="Times New Roman" w:hAnsi="Times New Roman" w:cs="Times New Roman"/>
          <w:b/>
          <w:bCs/>
          <w:color w:val="000000"/>
          <w:sz w:val="28"/>
          <w:szCs w:val="28"/>
          <w:bdr w:val="none" w:sz="0" w:space="0" w:color="auto" w:frame="1"/>
          <w:lang w:eastAsia="uk-UA"/>
        </w:rPr>
        <w:t xml:space="preserve"> </w:t>
      </w:r>
      <w:r w:rsidR="002053C2">
        <w:rPr>
          <w:rFonts w:ascii="Times New Roman" w:eastAsia="Times New Roman" w:hAnsi="Times New Roman" w:cs="Times New Roman"/>
          <w:b/>
          <w:bCs/>
          <w:color w:val="000000"/>
          <w:sz w:val="28"/>
          <w:szCs w:val="28"/>
          <w:bdr w:val="none" w:sz="0" w:space="0" w:color="auto" w:frame="1"/>
          <w:lang w:eastAsia="uk-UA"/>
        </w:rPr>
        <w:t xml:space="preserve">міської </w:t>
      </w:r>
      <w:r w:rsidRPr="005D3C65">
        <w:rPr>
          <w:rFonts w:ascii="Times New Roman" w:eastAsia="Times New Roman" w:hAnsi="Times New Roman" w:cs="Times New Roman"/>
          <w:b/>
          <w:bCs/>
          <w:color w:val="000000"/>
          <w:sz w:val="28"/>
          <w:szCs w:val="28"/>
          <w:bdr w:val="none" w:sz="0" w:space="0" w:color="auto" w:frame="1"/>
          <w:lang w:eastAsia="uk-UA"/>
        </w:rPr>
        <w:t>територіальної громади»</w:t>
      </w:r>
    </w:p>
    <w:p w:rsidR="00E32FA8" w:rsidRPr="005D3C65" w:rsidRDefault="00E32FA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984727" w:rsidRPr="005D3C65" w:rsidRDefault="00984727" w:rsidP="00D3257B">
      <w:pPr>
        <w:widowControl w:val="0"/>
        <w:spacing w:after="0" w:line="240" w:lineRule="auto"/>
        <w:ind w:firstLine="540"/>
        <w:jc w:val="both"/>
        <w:rPr>
          <w:rFonts w:ascii="Times New Roman" w:hAnsi="Times New Roman" w:cs="Times New Roman"/>
          <w:sz w:val="28"/>
          <w:szCs w:val="28"/>
        </w:rPr>
      </w:pPr>
      <w:r w:rsidRPr="005D3C65">
        <w:rPr>
          <w:rFonts w:ascii="Times New Roman" w:hAnsi="Times New Roman" w:cs="Times New Roman"/>
          <w:color w:val="000000"/>
          <w:sz w:val="28"/>
          <w:szCs w:val="28"/>
          <w:lang w:eastAsia="uk-UA"/>
        </w:rPr>
        <w:t xml:space="preserve">Керуючись законами України «Про місцеве самоврядування в Україні»,  «Про благоустрій населених пунктів», «Про засади державної регуляторної політики у сфері господарської діяльності», </w:t>
      </w:r>
      <w:r w:rsidRPr="005D3C65">
        <w:rPr>
          <w:rFonts w:ascii="Times New Roman" w:hAnsi="Times New Roman" w:cs="Times New Roman"/>
          <w:color w:val="303135"/>
          <w:sz w:val="28"/>
          <w:szCs w:val="28"/>
          <w:shd w:val="clear" w:color="auto" w:fill="FFFFFF"/>
        </w:rPr>
        <w:t xml:space="preserve">враховуючи рішення </w:t>
      </w:r>
      <w:proofErr w:type="spellStart"/>
      <w:r w:rsidRPr="005D3C65">
        <w:rPr>
          <w:rFonts w:ascii="Times New Roman" w:hAnsi="Times New Roman" w:cs="Times New Roman"/>
          <w:color w:val="303135"/>
          <w:sz w:val="28"/>
          <w:szCs w:val="28"/>
          <w:shd w:val="clear" w:color="auto" w:fill="FFFFFF"/>
        </w:rPr>
        <w:t>Долинської</w:t>
      </w:r>
      <w:proofErr w:type="spellEnd"/>
      <w:r w:rsidRPr="005D3C65">
        <w:rPr>
          <w:rFonts w:ascii="Times New Roman" w:hAnsi="Times New Roman" w:cs="Times New Roman"/>
          <w:color w:val="303135"/>
          <w:sz w:val="28"/>
          <w:szCs w:val="28"/>
          <w:shd w:val="clear" w:color="auto" w:fill="FFFFFF"/>
        </w:rPr>
        <w:t xml:space="preserve"> міської ради від 21.07.2022 року №1665-21/2022 «</w:t>
      </w:r>
      <w:r w:rsidRPr="005D3C65">
        <w:rPr>
          <w:rFonts w:ascii="Times New Roman" w:hAnsi="Times New Roman" w:cs="Times New Roman"/>
          <w:bCs/>
          <w:color w:val="000000"/>
          <w:sz w:val="28"/>
          <w:szCs w:val="28"/>
          <w:bdr w:val="none" w:sz="0" w:space="0" w:color="auto" w:frame="1"/>
          <w:lang w:eastAsia="uk-UA"/>
        </w:rPr>
        <w:t xml:space="preserve">Про </w:t>
      </w:r>
      <w:r w:rsidRPr="005D3C65">
        <w:rPr>
          <w:rFonts w:ascii="Times New Roman" w:hAnsi="Times New Roman" w:cs="Times New Roman"/>
          <w:bCs/>
          <w:color w:val="333333"/>
          <w:sz w:val="28"/>
          <w:szCs w:val="28"/>
          <w:shd w:val="clear" w:color="auto" w:fill="FFFFFF"/>
        </w:rPr>
        <w:t>прийняття за основу проекту </w:t>
      </w:r>
      <w:r w:rsidRPr="005D3C65">
        <w:rPr>
          <w:rFonts w:ascii="Times New Roman" w:hAnsi="Times New Roman" w:cs="Times New Roman"/>
          <w:bCs/>
          <w:color w:val="000000"/>
          <w:sz w:val="28"/>
          <w:szCs w:val="28"/>
          <w:bdr w:val="none" w:sz="0" w:space="0" w:color="auto" w:frame="1"/>
          <w:lang w:eastAsia="uk-UA"/>
        </w:rPr>
        <w:t>Правил благоустрою території  </w:t>
      </w:r>
      <w:proofErr w:type="spellStart"/>
      <w:r w:rsidRPr="005D3C65">
        <w:rPr>
          <w:rFonts w:ascii="Times New Roman" w:hAnsi="Times New Roman" w:cs="Times New Roman"/>
          <w:bCs/>
          <w:color w:val="000000"/>
          <w:sz w:val="28"/>
          <w:szCs w:val="28"/>
          <w:bdr w:val="none" w:sz="0" w:space="0" w:color="auto" w:frame="1"/>
          <w:lang w:eastAsia="uk-UA"/>
        </w:rPr>
        <w:t>Долинської</w:t>
      </w:r>
      <w:proofErr w:type="spellEnd"/>
      <w:r w:rsidRPr="005D3C65">
        <w:rPr>
          <w:rFonts w:ascii="Times New Roman" w:hAnsi="Times New Roman" w:cs="Times New Roman"/>
          <w:bCs/>
          <w:color w:val="000000"/>
          <w:sz w:val="28"/>
          <w:szCs w:val="28"/>
          <w:bdr w:val="none" w:sz="0" w:space="0" w:color="auto" w:frame="1"/>
          <w:lang w:eastAsia="uk-UA"/>
        </w:rPr>
        <w:t xml:space="preserve"> міської   територіальної громади</w:t>
      </w:r>
      <w:r w:rsidRPr="005D3C65">
        <w:rPr>
          <w:rFonts w:ascii="Times New Roman" w:hAnsi="Times New Roman" w:cs="Times New Roman"/>
          <w:color w:val="303135"/>
          <w:sz w:val="28"/>
          <w:szCs w:val="28"/>
          <w:shd w:val="clear" w:color="auto" w:fill="FFFFFF"/>
        </w:rPr>
        <w:t>»</w:t>
      </w:r>
      <w:r w:rsidRPr="005D3C65">
        <w:rPr>
          <w:rFonts w:ascii="Times New Roman" w:hAnsi="Times New Roman" w:cs="Times New Roman"/>
          <w:color w:val="303135"/>
          <w:sz w:val="28"/>
          <w:szCs w:val="28"/>
        </w:rPr>
        <w:t>,</w:t>
      </w:r>
      <w:r w:rsidRPr="005D3C65">
        <w:rPr>
          <w:rFonts w:ascii="Times New Roman" w:hAnsi="Times New Roman" w:cs="Times New Roman"/>
          <w:sz w:val="28"/>
          <w:szCs w:val="28"/>
        </w:rPr>
        <w:t xml:space="preserve"> та з метою одержання зауважень і пропозицій від фізичних та юридичних осіб та їх об’єднань, </w:t>
      </w:r>
      <w:proofErr w:type="spellStart"/>
      <w:r w:rsidRPr="005D3C65">
        <w:rPr>
          <w:rFonts w:ascii="Times New Roman" w:hAnsi="Times New Roman" w:cs="Times New Roman"/>
          <w:sz w:val="28"/>
          <w:szCs w:val="28"/>
        </w:rPr>
        <w:t>Долинська</w:t>
      </w:r>
      <w:proofErr w:type="spellEnd"/>
      <w:r w:rsidRPr="005D3C65">
        <w:rPr>
          <w:rFonts w:ascii="Times New Roman" w:hAnsi="Times New Roman" w:cs="Times New Roman"/>
          <w:sz w:val="28"/>
          <w:szCs w:val="28"/>
        </w:rPr>
        <w:t xml:space="preserve"> міська рада повідомляє про оприлюднення проекту регуляторного акту – проект</w:t>
      </w:r>
      <w:r w:rsidR="00B248C6">
        <w:rPr>
          <w:rFonts w:ascii="Times New Roman" w:hAnsi="Times New Roman" w:cs="Times New Roman"/>
          <w:sz w:val="28"/>
          <w:szCs w:val="28"/>
        </w:rPr>
        <w:t>у</w:t>
      </w:r>
      <w:r w:rsidRPr="005D3C65">
        <w:rPr>
          <w:rFonts w:ascii="Times New Roman" w:hAnsi="Times New Roman" w:cs="Times New Roman"/>
          <w:sz w:val="28"/>
          <w:szCs w:val="28"/>
        </w:rPr>
        <w:t xml:space="preserve"> Правил благоустрою території </w:t>
      </w:r>
      <w:proofErr w:type="spellStart"/>
      <w:r w:rsidRPr="005D3C65">
        <w:rPr>
          <w:rFonts w:ascii="Times New Roman" w:hAnsi="Times New Roman" w:cs="Times New Roman"/>
          <w:sz w:val="28"/>
          <w:szCs w:val="28"/>
        </w:rPr>
        <w:t>Долинської</w:t>
      </w:r>
      <w:proofErr w:type="spellEnd"/>
      <w:r w:rsidRPr="005D3C65">
        <w:rPr>
          <w:rFonts w:ascii="Times New Roman" w:hAnsi="Times New Roman" w:cs="Times New Roman"/>
          <w:sz w:val="28"/>
          <w:szCs w:val="28"/>
        </w:rPr>
        <w:t xml:space="preserve"> міської територіальної громади.</w:t>
      </w:r>
    </w:p>
    <w:p w:rsidR="00984727" w:rsidRPr="005D3C65" w:rsidRDefault="00984727" w:rsidP="00D3257B">
      <w:pPr>
        <w:spacing w:after="0" w:line="240" w:lineRule="auto"/>
        <w:ind w:right="-141" w:firstLine="708"/>
        <w:jc w:val="both"/>
        <w:rPr>
          <w:rFonts w:ascii="Times New Roman" w:eastAsia="SimSun" w:hAnsi="Times New Roman" w:cs="Times New Roman"/>
          <w:sz w:val="28"/>
          <w:szCs w:val="28"/>
          <w:lang w:eastAsia="zh-CN"/>
        </w:rPr>
      </w:pPr>
      <w:r w:rsidRPr="005D3C65">
        <w:rPr>
          <w:rFonts w:ascii="Times New Roman" w:eastAsia="SimSun" w:hAnsi="Times New Roman" w:cs="Times New Roman"/>
          <w:b/>
          <w:sz w:val="28"/>
          <w:szCs w:val="28"/>
          <w:lang w:eastAsia="zh-CN"/>
        </w:rPr>
        <w:t>Регуляторний орган:</w:t>
      </w:r>
      <w:r w:rsidRPr="005D3C65">
        <w:rPr>
          <w:rFonts w:ascii="Times New Roman" w:eastAsia="SimSun" w:hAnsi="Times New Roman" w:cs="Times New Roman"/>
          <w:sz w:val="28"/>
          <w:szCs w:val="28"/>
          <w:lang w:eastAsia="zh-CN"/>
        </w:rPr>
        <w:t xml:space="preserve"> </w:t>
      </w:r>
      <w:proofErr w:type="spellStart"/>
      <w:r w:rsidRPr="005D3C65">
        <w:rPr>
          <w:rFonts w:ascii="Times New Roman" w:eastAsia="SimSun" w:hAnsi="Times New Roman" w:cs="Times New Roman"/>
          <w:sz w:val="28"/>
          <w:szCs w:val="28"/>
          <w:lang w:eastAsia="zh-CN"/>
        </w:rPr>
        <w:t>Долинська</w:t>
      </w:r>
      <w:proofErr w:type="spellEnd"/>
      <w:r w:rsidRPr="005D3C65">
        <w:rPr>
          <w:rFonts w:ascii="Times New Roman" w:eastAsia="SimSun" w:hAnsi="Times New Roman" w:cs="Times New Roman"/>
          <w:sz w:val="28"/>
          <w:szCs w:val="28"/>
          <w:lang w:eastAsia="zh-CN"/>
        </w:rPr>
        <w:t xml:space="preserve"> міська рада Калуського району, Івано-Франківської області.</w:t>
      </w:r>
    </w:p>
    <w:p w:rsidR="00984727" w:rsidRPr="005D3C65" w:rsidRDefault="00984727" w:rsidP="00D3257B">
      <w:pPr>
        <w:spacing w:after="0" w:line="240" w:lineRule="auto"/>
        <w:ind w:right="-141" w:firstLine="708"/>
        <w:jc w:val="both"/>
        <w:rPr>
          <w:rFonts w:ascii="Times New Roman" w:eastAsia="SimSun" w:hAnsi="Times New Roman" w:cs="Times New Roman"/>
          <w:sz w:val="28"/>
          <w:szCs w:val="28"/>
          <w:lang w:eastAsia="zh-CN"/>
        </w:rPr>
      </w:pPr>
      <w:r w:rsidRPr="005D3C65">
        <w:rPr>
          <w:rFonts w:ascii="Times New Roman" w:eastAsia="SimSun" w:hAnsi="Times New Roman" w:cs="Times New Roman"/>
          <w:b/>
          <w:sz w:val="28"/>
          <w:szCs w:val="28"/>
          <w:lang w:eastAsia="zh-CN"/>
        </w:rPr>
        <w:t>Розробник:</w:t>
      </w:r>
      <w:r w:rsidRPr="005D3C65">
        <w:rPr>
          <w:rFonts w:ascii="Times New Roman" w:eastAsia="SimSun" w:hAnsi="Times New Roman" w:cs="Times New Roman"/>
          <w:sz w:val="28"/>
          <w:szCs w:val="28"/>
          <w:lang w:eastAsia="zh-CN"/>
        </w:rPr>
        <w:t xml:space="preserve"> Управління благоустрою та інфраструктури </w:t>
      </w:r>
      <w:proofErr w:type="spellStart"/>
      <w:r w:rsidRPr="005D3C65">
        <w:rPr>
          <w:rFonts w:ascii="Times New Roman" w:eastAsia="SimSun" w:hAnsi="Times New Roman" w:cs="Times New Roman"/>
          <w:sz w:val="28"/>
          <w:szCs w:val="28"/>
          <w:lang w:eastAsia="zh-CN"/>
        </w:rPr>
        <w:t>Долинської</w:t>
      </w:r>
      <w:proofErr w:type="spellEnd"/>
      <w:r w:rsidRPr="005D3C65">
        <w:rPr>
          <w:rFonts w:ascii="Times New Roman" w:eastAsia="SimSun" w:hAnsi="Times New Roman" w:cs="Times New Roman"/>
          <w:sz w:val="28"/>
          <w:szCs w:val="28"/>
          <w:lang w:eastAsia="zh-CN"/>
        </w:rPr>
        <w:t xml:space="preserve">  міської ради, адрес: 77504 </w:t>
      </w:r>
      <w:r w:rsidRPr="005D3C65">
        <w:rPr>
          <w:rFonts w:ascii="Times New Roman" w:hAnsi="Times New Roman" w:cs="Times New Roman"/>
          <w:sz w:val="28"/>
          <w:szCs w:val="28"/>
        </w:rPr>
        <w:t xml:space="preserve">проспект Незалежності,5, м. Долина, Калуський район Івано-Франківська обл.  </w:t>
      </w:r>
    </w:p>
    <w:p w:rsidR="00984727" w:rsidRPr="005D3C65" w:rsidRDefault="00984727" w:rsidP="00D3257B">
      <w:pPr>
        <w:spacing w:after="0" w:line="240" w:lineRule="auto"/>
        <w:ind w:right="-141" w:firstLine="708"/>
        <w:jc w:val="both"/>
        <w:rPr>
          <w:rFonts w:ascii="Times New Roman" w:eastAsia="SimSun" w:hAnsi="Times New Roman" w:cs="Times New Roman"/>
          <w:sz w:val="28"/>
          <w:szCs w:val="28"/>
          <w:lang w:eastAsia="zh-CN"/>
        </w:rPr>
      </w:pPr>
      <w:r w:rsidRPr="005D3C65">
        <w:rPr>
          <w:rFonts w:ascii="Times New Roman" w:eastAsia="SimSun" w:hAnsi="Times New Roman" w:cs="Times New Roman"/>
          <w:b/>
          <w:sz w:val="28"/>
          <w:szCs w:val="28"/>
          <w:lang w:eastAsia="zh-CN"/>
        </w:rPr>
        <w:t>Контакти:</w:t>
      </w:r>
      <w:r w:rsidRPr="005D3C65">
        <w:rPr>
          <w:rFonts w:ascii="Times New Roman" w:eastAsia="SimSun" w:hAnsi="Times New Roman" w:cs="Times New Roman"/>
          <w:sz w:val="28"/>
          <w:szCs w:val="28"/>
          <w:lang w:eastAsia="zh-CN"/>
        </w:rPr>
        <w:t xml:space="preserve"> </w:t>
      </w:r>
      <w:proofErr w:type="spellStart"/>
      <w:r w:rsidRPr="005D3C65">
        <w:rPr>
          <w:rFonts w:ascii="Times New Roman" w:eastAsia="SimSun" w:hAnsi="Times New Roman" w:cs="Times New Roman"/>
          <w:sz w:val="28"/>
          <w:szCs w:val="28"/>
          <w:lang w:eastAsia="zh-CN"/>
        </w:rPr>
        <w:t>тел</w:t>
      </w:r>
      <w:proofErr w:type="spellEnd"/>
      <w:r w:rsidRPr="005D3C65">
        <w:rPr>
          <w:rFonts w:ascii="Times New Roman" w:eastAsia="SimSun" w:hAnsi="Times New Roman" w:cs="Times New Roman"/>
          <w:sz w:val="28"/>
          <w:szCs w:val="28"/>
          <w:lang w:eastAsia="zh-CN"/>
        </w:rPr>
        <w:t>. (03477) 2-80-80.</w:t>
      </w:r>
    </w:p>
    <w:p w:rsidR="00984727" w:rsidRPr="005D3C65" w:rsidRDefault="00984727" w:rsidP="00D3257B">
      <w:pPr>
        <w:spacing w:after="0" w:line="240" w:lineRule="auto"/>
        <w:ind w:right="-141" w:firstLine="708"/>
        <w:jc w:val="both"/>
        <w:rPr>
          <w:rFonts w:ascii="Times New Roman" w:hAnsi="Times New Roman" w:cs="Times New Roman"/>
          <w:sz w:val="28"/>
          <w:szCs w:val="28"/>
        </w:rPr>
      </w:pPr>
      <w:r w:rsidRPr="005D3C65">
        <w:rPr>
          <w:rFonts w:ascii="Times New Roman" w:hAnsi="Times New Roman" w:cs="Times New Roman"/>
          <w:b/>
          <w:sz w:val="28"/>
          <w:szCs w:val="28"/>
        </w:rPr>
        <w:t>е</w:t>
      </w:r>
      <w:r w:rsidRPr="005D3C65">
        <w:rPr>
          <w:rFonts w:ascii="Times New Roman" w:hAnsi="Times New Roman" w:cs="Times New Roman"/>
          <w:b/>
          <w:sz w:val="28"/>
          <w:szCs w:val="28"/>
          <w:lang w:val="en-US"/>
        </w:rPr>
        <w:t>-mail</w:t>
      </w:r>
      <w:r w:rsidRPr="005D3C65">
        <w:rPr>
          <w:rFonts w:ascii="Times New Roman" w:hAnsi="Times New Roman" w:cs="Times New Roman"/>
          <w:sz w:val="28"/>
          <w:szCs w:val="28"/>
        </w:rPr>
        <w:t xml:space="preserve">: </w:t>
      </w:r>
      <w:hyperlink r:id="rId7" w:history="1">
        <w:r w:rsidRPr="005D3C65">
          <w:rPr>
            <w:rStyle w:val="a5"/>
            <w:rFonts w:ascii="Times New Roman" w:hAnsi="Times New Roman" w:cs="Times New Roman"/>
            <w:sz w:val="28"/>
            <w:szCs w:val="28"/>
            <w:shd w:val="clear" w:color="auto" w:fill="FFFFFF"/>
          </w:rPr>
          <w:t>upravlinnya_bi@ukr.net</w:t>
        </w:r>
      </w:hyperlink>
      <w:r w:rsidRPr="005D3C65">
        <w:rPr>
          <w:rFonts w:ascii="Times New Roman" w:hAnsi="Times New Roman" w:cs="Times New Roman"/>
          <w:sz w:val="28"/>
          <w:szCs w:val="28"/>
        </w:rPr>
        <w:t xml:space="preserve"> </w:t>
      </w:r>
    </w:p>
    <w:p w:rsidR="00B917D5" w:rsidRPr="005D3C65" w:rsidRDefault="00B917D5" w:rsidP="00D3257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D3257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І. Визначення проблеми</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Благоустрій населених пунктів – це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пункту/населених пунктів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На даний час на території </w:t>
      </w:r>
      <w:proofErr w:type="spellStart"/>
      <w:r w:rsidR="00E21CD1" w:rsidRPr="005D3C65">
        <w:rPr>
          <w:rFonts w:ascii="Times New Roman" w:eastAsia="Times New Roman" w:hAnsi="Times New Roman" w:cs="Times New Roman"/>
          <w:color w:val="000000"/>
          <w:sz w:val="28"/>
          <w:szCs w:val="28"/>
          <w:lang w:eastAsia="uk-UA"/>
        </w:rPr>
        <w:t>Долинської</w:t>
      </w:r>
      <w:proofErr w:type="spellEnd"/>
      <w:r w:rsidR="00E21CD1" w:rsidRPr="005D3C65">
        <w:rPr>
          <w:rFonts w:ascii="Times New Roman" w:eastAsia="Times New Roman" w:hAnsi="Times New Roman" w:cs="Times New Roman"/>
          <w:color w:val="000000"/>
          <w:sz w:val="28"/>
          <w:szCs w:val="28"/>
          <w:lang w:eastAsia="uk-UA"/>
        </w:rPr>
        <w:t xml:space="preserve"> територіальної громади діють </w:t>
      </w:r>
      <w:r w:rsidR="00701A7B" w:rsidRPr="005D3C65">
        <w:rPr>
          <w:rFonts w:ascii="Times New Roman" w:eastAsia="Times New Roman" w:hAnsi="Times New Roman" w:cs="Times New Roman"/>
          <w:color w:val="000000"/>
          <w:sz w:val="28"/>
          <w:szCs w:val="28"/>
          <w:lang w:eastAsia="uk-UA"/>
        </w:rPr>
        <w:t xml:space="preserve">Правила благоустрою території, забезпечення чистоти і порядку в </w:t>
      </w:r>
      <w:proofErr w:type="spellStart"/>
      <w:r w:rsidR="00701A7B" w:rsidRPr="005D3C65">
        <w:rPr>
          <w:rFonts w:ascii="Times New Roman" w:eastAsia="Times New Roman" w:hAnsi="Times New Roman" w:cs="Times New Roman"/>
          <w:color w:val="000000"/>
          <w:sz w:val="28"/>
          <w:szCs w:val="28"/>
          <w:lang w:eastAsia="uk-UA"/>
        </w:rPr>
        <w:t>м.Долина</w:t>
      </w:r>
      <w:proofErr w:type="spellEnd"/>
      <w:r w:rsidR="00701A7B" w:rsidRPr="005D3C65">
        <w:rPr>
          <w:rFonts w:ascii="Times New Roman" w:eastAsia="Times New Roman" w:hAnsi="Times New Roman" w:cs="Times New Roman"/>
          <w:color w:val="000000"/>
          <w:sz w:val="28"/>
          <w:szCs w:val="28"/>
          <w:lang w:eastAsia="uk-UA"/>
        </w:rPr>
        <w:t>, затверджені р</w:t>
      </w:r>
      <w:r w:rsidR="00E21CD1" w:rsidRPr="005D3C65">
        <w:rPr>
          <w:rFonts w:ascii="Times New Roman" w:eastAsia="Times New Roman" w:hAnsi="Times New Roman" w:cs="Times New Roman"/>
          <w:color w:val="000000"/>
          <w:sz w:val="28"/>
          <w:szCs w:val="28"/>
          <w:lang w:eastAsia="uk-UA"/>
        </w:rPr>
        <w:t xml:space="preserve">ішення </w:t>
      </w:r>
      <w:proofErr w:type="spellStart"/>
      <w:r w:rsidR="00E21CD1" w:rsidRPr="005D3C65">
        <w:rPr>
          <w:rFonts w:ascii="Times New Roman" w:eastAsia="Times New Roman" w:hAnsi="Times New Roman" w:cs="Times New Roman"/>
          <w:color w:val="000000"/>
          <w:sz w:val="28"/>
          <w:szCs w:val="28"/>
          <w:lang w:eastAsia="uk-UA"/>
        </w:rPr>
        <w:t>Долинської</w:t>
      </w:r>
      <w:proofErr w:type="spellEnd"/>
      <w:r w:rsidR="00E21CD1" w:rsidRPr="005D3C65">
        <w:rPr>
          <w:rFonts w:ascii="Times New Roman" w:eastAsia="Times New Roman" w:hAnsi="Times New Roman" w:cs="Times New Roman"/>
          <w:color w:val="000000"/>
          <w:sz w:val="28"/>
          <w:szCs w:val="28"/>
          <w:lang w:eastAsia="uk-UA"/>
        </w:rPr>
        <w:t xml:space="preserve"> міської ради №442-14/2011  від 09 грудня 2011 року</w:t>
      </w:r>
      <w:r w:rsidRPr="005D3C65">
        <w:rPr>
          <w:rFonts w:ascii="Times New Roman" w:eastAsia="Times New Roman" w:hAnsi="Times New Roman" w:cs="Times New Roman"/>
          <w:color w:val="000000"/>
          <w:sz w:val="28"/>
          <w:szCs w:val="28"/>
          <w:lang w:eastAsia="uk-UA"/>
        </w:rPr>
        <w:t>.</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Правовідносини у сфері благоустрою регулюються Законами України «Про благоустрій населених пунктів», «Про відходи», «Про забезпечення санітарного та епідеміологічного благополуччя населення», «Про охорону навколишнього природного середовища», «Про охорону атмосферного повітря», «Про охорону культурної спадщини» та іншими нормативно-правовими актами. Проте, норми вказаних законодавчих актів визначають лише основні положення у сфері благоустрою, залишаючи неврегульованим коло питань, які виникають на місцевому рівні.</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Тому виникла необхідність врегулювати права та обов’язки всіх учасників правовідносин у сфері благоустрою територій населених пунктів територіальної громади і затвердити цей нормативний документ за процедурою регуляторного акту.</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Нині у сфері благоустрою території населених пунктів територіальної громади виникла низка проблем, пов’язаних з:</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відсутністю чітко регламентованих правил і норм поведінки юридичних та фізичних осіб у сфері благоустрою, а також комплексу заходів, необхідних для забезпечення чистоти і порядку у ній;</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неправомірним розміщенням ремонтних та великогабаритних побутових відходів;</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наявністю стихійних сміттєзвалищ, розміщенням будівельних матеріалів (піску, щебню, мішків із матеріалами тощо) на території житлової та громадської забудови, зелених зон;</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відсутністю у юридичних та фізичних осіб договорів на надання послуг з вивезення побутових відходів;</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самовільним знищенням дерев, кущів, інших зелених насаджень;</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паркуванням автотранспортних засобів на територіях зелених зон (газонах, квітниках, клумбах) та майданчиках для відпочинку і дозвілля;</w:t>
      </w:r>
    </w:p>
    <w:p w:rsidR="003F7C88" w:rsidRPr="005D3C65" w:rsidRDefault="00701A7B"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з</w:t>
      </w:r>
      <w:r w:rsidR="003F7C88" w:rsidRPr="005D3C65">
        <w:rPr>
          <w:rFonts w:ascii="Times New Roman" w:eastAsia="Times New Roman" w:hAnsi="Times New Roman" w:cs="Times New Roman"/>
          <w:color w:val="000000"/>
          <w:sz w:val="28"/>
          <w:szCs w:val="28"/>
          <w:lang w:eastAsia="uk-UA"/>
        </w:rPr>
        <w:t xml:space="preserve">агальна проблема забезпечення та підтримання належного благоустрою на території населених пунктів територіальної громади, поліпшення її стану є досить актуальною. </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Так, до виконавчого </w:t>
      </w:r>
      <w:r w:rsidR="00701A7B" w:rsidRPr="005D3C65">
        <w:rPr>
          <w:rFonts w:ascii="Times New Roman" w:eastAsia="Times New Roman" w:hAnsi="Times New Roman" w:cs="Times New Roman"/>
          <w:color w:val="000000"/>
          <w:sz w:val="28"/>
          <w:szCs w:val="28"/>
          <w:lang w:eastAsia="uk-UA"/>
        </w:rPr>
        <w:t xml:space="preserve">органу </w:t>
      </w:r>
      <w:proofErr w:type="spellStart"/>
      <w:r w:rsidR="00701A7B" w:rsidRPr="005D3C65">
        <w:rPr>
          <w:rFonts w:ascii="Times New Roman" w:eastAsia="Times New Roman" w:hAnsi="Times New Roman" w:cs="Times New Roman"/>
          <w:color w:val="000000"/>
          <w:sz w:val="28"/>
          <w:szCs w:val="28"/>
          <w:lang w:eastAsia="uk-UA"/>
        </w:rPr>
        <w:t>Долинської</w:t>
      </w:r>
      <w:proofErr w:type="spellEnd"/>
      <w:r w:rsidR="00701A7B"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міської ради надходять звернення від мешканців громади щодо недотримання правил благоустрою, серед яких:</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щодо розчищення доріг, тротуарів, площі, під’їздів, мостів, тощо від снігу в зимовий час;</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підрізання гілок дерев;</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звалювання відходів та сміття у невідведених для цього місцях;</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спалювання сміття, відходів та гілля;</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Комунальне підприємство «</w:t>
      </w:r>
      <w:r w:rsidR="001B12A5" w:rsidRPr="005D3C65">
        <w:rPr>
          <w:rFonts w:ascii="Times New Roman" w:eastAsia="Times New Roman" w:hAnsi="Times New Roman" w:cs="Times New Roman"/>
          <w:color w:val="000000"/>
          <w:sz w:val="28"/>
          <w:szCs w:val="28"/>
          <w:lang w:eastAsia="uk-UA"/>
        </w:rPr>
        <w:t>Комунгосп</w:t>
      </w:r>
      <w:r w:rsidRPr="005D3C65">
        <w:rPr>
          <w:rFonts w:ascii="Times New Roman" w:eastAsia="Times New Roman" w:hAnsi="Times New Roman" w:cs="Times New Roman"/>
          <w:color w:val="000000"/>
          <w:sz w:val="28"/>
          <w:szCs w:val="28"/>
          <w:lang w:eastAsia="uk-UA"/>
        </w:rPr>
        <w:t xml:space="preserve">» </w:t>
      </w:r>
      <w:proofErr w:type="spellStart"/>
      <w:r w:rsidR="001B12A5" w:rsidRPr="005D3C65">
        <w:rPr>
          <w:rFonts w:ascii="Times New Roman" w:eastAsia="Times New Roman" w:hAnsi="Times New Roman" w:cs="Times New Roman"/>
          <w:color w:val="000000"/>
          <w:sz w:val="28"/>
          <w:szCs w:val="28"/>
          <w:lang w:eastAsia="uk-UA"/>
        </w:rPr>
        <w:t>Долинської</w:t>
      </w:r>
      <w:proofErr w:type="spellEnd"/>
      <w:r w:rsidR="001B12A5"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міської ради постійно виявляє стихійні сміттєзвалища та ліквід</w:t>
      </w:r>
      <w:r w:rsidR="00B248C6">
        <w:rPr>
          <w:rFonts w:ascii="Times New Roman" w:eastAsia="Times New Roman" w:hAnsi="Times New Roman" w:cs="Times New Roman"/>
          <w:color w:val="000000"/>
          <w:sz w:val="28"/>
          <w:szCs w:val="28"/>
          <w:lang w:eastAsia="uk-UA"/>
        </w:rPr>
        <w:t>ов</w:t>
      </w:r>
      <w:r w:rsidRPr="005D3C65">
        <w:rPr>
          <w:rFonts w:ascii="Times New Roman" w:eastAsia="Times New Roman" w:hAnsi="Times New Roman" w:cs="Times New Roman"/>
          <w:color w:val="000000"/>
          <w:sz w:val="28"/>
          <w:szCs w:val="28"/>
          <w:lang w:eastAsia="uk-UA"/>
        </w:rPr>
        <w:t>ує їх.</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Стихійні сміттєзвалища вкрай негативно впливають на навколишнє середовище та санітарний стан населених пунктів </w:t>
      </w:r>
      <w:proofErr w:type="spellStart"/>
      <w:r w:rsidR="001B12A5" w:rsidRPr="005D3C65">
        <w:rPr>
          <w:rFonts w:ascii="Times New Roman" w:eastAsia="Times New Roman" w:hAnsi="Times New Roman" w:cs="Times New Roman"/>
          <w:color w:val="000000"/>
          <w:sz w:val="28"/>
          <w:szCs w:val="28"/>
          <w:lang w:eastAsia="uk-UA"/>
        </w:rPr>
        <w:t>Долинської</w:t>
      </w:r>
      <w:proofErr w:type="spellEnd"/>
      <w:r w:rsidR="001B12A5"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територіальної громади.</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Тому, з метою приведення до норм чинного законодавства України, у зв’язку з набуттям чинності з 06.02.2018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27.11.2017 № 310 виникла необхідність прийняття нових Правил благоустрою території </w:t>
      </w:r>
      <w:proofErr w:type="spellStart"/>
      <w:r w:rsidR="001B12A5" w:rsidRPr="005D3C65">
        <w:rPr>
          <w:rFonts w:ascii="Times New Roman" w:eastAsia="Times New Roman" w:hAnsi="Times New Roman" w:cs="Times New Roman"/>
          <w:color w:val="000000"/>
          <w:sz w:val="28"/>
          <w:szCs w:val="28"/>
          <w:lang w:eastAsia="uk-UA"/>
        </w:rPr>
        <w:t>Долинської</w:t>
      </w:r>
      <w:proofErr w:type="spellEnd"/>
      <w:r w:rsidR="001B12A5"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територіальної громади та затвердження цього нормативного документу за процедурою регуляторного акту.</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Даним регуляторним актом пропонується розв'язати такі проблеми, як:</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відсутність чітко встановлених правил і норм поведінки юридичних та фізичних осіб у сфері благоустрою;</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неналежне утримання об'єктів та елементів благоустрою;</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наявність стихійних сміттєвих звалищ, розміщення будівельних матеріалів на прибудинковій території, присадибних ділянках до житлових будинків, території житлової та громадської забудови, відсутність належної кількості урн для сміття;</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відсутність у юридичних та фізичних осіб договорів на вивезення твердих побутових відходів, складування відходів в непризначених для цього місцях;</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паркування транспорту на територіях зелених зон та майданчиках - об’єктах благоустрою;</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самовільне знищення дерев, кущів та інших зелених насаджень;</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вжиття заходів щодо належного відновлення земельних насаджень (висадження нових дерев, кущів, квітів).</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Окремі проблеми справляють негативний вплив на громадян, яким не забезпечуються сприятливе для життєдіяльності середовище, у тому числі захист довкілля, належний санітарний стан, збереження об'єктів та елементів благоустрою.</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Негативного впливу зазнають також суб'єкти господарювання. Порушення правил благоустрою призводить до неможливості ефективно здійснювати господарську діяльність.</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Таким чином, регламентування норм та правил поведінки у сфері благоустрою території населених пунктів територіальної громади та впровадження Правил благоустрою дозволить сформувати прозорі вимоги щодо проведення в громаді єдиної політики з підтримки благоустрою, формування сприятливого для життєдіяльності людини середовища, раціонального використання ресурсів територіальної громади, захисту довкілля.</w:t>
      </w:r>
    </w:p>
    <w:p w:rsidR="003F7C88" w:rsidRPr="005D3C65" w:rsidRDefault="003F7C88" w:rsidP="001D316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Основні групи, на які проблема справляє вплив є:</w:t>
      </w:r>
    </w:p>
    <w:tbl>
      <w:tblPr>
        <w:tblW w:w="10650" w:type="dxa"/>
        <w:tblCellMar>
          <w:left w:w="0" w:type="dxa"/>
          <w:right w:w="0" w:type="dxa"/>
        </w:tblCellMar>
        <w:tblLook w:val="04A0" w:firstRow="1" w:lastRow="0" w:firstColumn="1" w:lastColumn="0" w:noHBand="0" w:noVBand="1"/>
      </w:tblPr>
      <w:tblGrid>
        <w:gridCol w:w="395"/>
        <w:gridCol w:w="7757"/>
        <w:gridCol w:w="1413"/>
        <w:gridCol w:w="1085"/>
      </w:tblGrid>
      <w:tr w:rsidR="003F7C88" w:rsidRPr="005D3C65" w:rsidTr="003F7C88">
        <w:tc>
          <w:tcPr>
            <w:tcW w:w="22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rPr>
                <w:rFonts w:ascii="Times New Roman" w:eastAsia="Times New Roman" w:hAnsi="Times New Roman" w:cs="Times New Roman"/>
                <w:color w:val="212529"/>
                <w:sz w:val="28"/>
                <w:szCs w:val="28"/>
                <w:lang w:eastAsia="uk-UA"/>
              </w:rPr>
            </w:pPr>
          </w:p>
        </w:tc>
        <w:tc>
          <w:tcPr>
            <w:tcW w:w="708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Групи</w:t>
            </w:r>
          </w:p>
        </w:tc>
        <w:tc>
          <w:tcPr>
            <w:tcW w:w="12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Так</w:t>
            </w:r>
          </w:p>
        </w:tc>
        <w:tc>
          <w:tcPr>
            <w:tcW w:w="99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Ні</w:t>
            </w:r>
          </w:p>
        </w:tc>
      </w:tr>
      <w:tr w:rsidR="003F7C88" w:rsidRPr="005D3C65" w:rsidTr="003F7C88">
        <w:tc>
          <w:tcPr>
            <w:tcW w:w="22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p>
        </w:tc>
        <w:tc>
          <w:tcPr>
            <w:tcW w:w="708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Громадяни</w:t>
            </w:r>
          </w:p>
        </w:tc>
        <w:tc>
          <w:tcPr>
            <w:tcW w:w="12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так</w:t>
            </w:r>
          </w:p>
        </w:tc>
        <w:tc>
          <w:tcPr>
            <w:tcW w:w="99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w:t>
            </w:r>
          </w:p>
        </w:tc>
      </w:tr>
      <w:tr w:rsidR="003F7C88" w:rsidRPr="005D3C65" w:rsidTr="003F7C88">
        <w:tc>
          <w:tcPr>
            <w:tcW w:w="22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p>
        </w:tc>
        <w:tc>
          <w:tcPr>
            <w:tcW w:w="708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Держава</w:t>
            </w:r>
          </w:p>
        </w:tc>
        <w:tc>
          <w:tcPr>
            <w:tcW w:w="12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так</w:t>
            </w:r>
          </w:p>
        </w:tc>
        <w:tc>
          <w:tcPr>
            <w:tcW w:w="99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w:t>
            </w:r>
          </w:p>
        </w:tc>
      </w:tr>
      <w:tr w:rsidR="003F7C88" w:rsidRPr="005D3C65" w:rsidTr="003F7C88">
        <w:tc>
          <w:tcPr>
            <w:tcW w:w="22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3.</w:t>
            </w:r>
          </w:p>
        </w:tc>
        <w:tc>
          <w:tcPr>
            <w:tcW w:w="708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Суб’єкти господарювання, у тому числі суб’єкти малого підприємництва</w:t>
            </w:r>
          </w:p>
        </w:tc>
        <w:tc>
          <w:tcPr>
            <w:tcW w:w="12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так</w:t>
            </w:r>
          </w:p>
        </w:tc>
        <w:tc>
          <w:tcPr>
            <w:tcW w:w="99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711A2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Обґрунтування неможливості вирішення проблеми за допомогою ринкових механізмів</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Проблема, яку пропонується врегулювати в результаті прийняття регуляторного акту, є важливою для </w:t>
      </w:r>
      <w:proofErr w:type="spellStart"/>
      <w:r w:rsidR="001B12A5" w:rsidRPr="005D3C65">
        <w:rPr>
          <w:rFonts w:ascii="Times New Roman" w:eastAsia="Times New Roman" w:hAnsi="Times New Roman" w:cs="Times New Roman"/>
          <w:color w:val="000000"/>
          <w:sz w:val="28"/>
          <w:szCs w:val="28"/>
          <w:lang w:eastAsia="uk-UA"/>
        </w:rPr>
        <w:t>Долинської</w:t>
      </w:r>
      <w:proofErr w:type="spellEnd"/>
      <w:r w:rsidRPr="005D3C65">
        <w:rPr>
          <w:rFonts w:ascii="Times New Roman" w:eastAsia="Times New Roman" w:hAnsi="Times New Roman" w:cs="Times New Roman"/>
          <w:color w:val="000000"/>
          <w:sz w:val="28"/>
          <w:szCs w:val="28"/>
          <w:lang w:eastAsia="uk-UA"/>
        </w:rPr>
        <w:t xml:space="preserve"> міської ради, суб’єктів господарювання та мешканців громади і не може бути розв’язана за допомогою ринкових механізмів, оскільки затвердження Правил благоустрою на відповідній території віднесено до компетенції  </w:t>
      </w:r>
      <w:proofErr w:type="spellStart"/>
      <w:r w:rsidR="001B12A5" w:rsidRPr="005D3C65">
        <w:rPr>
          <w:rFonts w:ascii="Times New Roman" w:eastAsia="Times New Roman" w:hAnsi="Times New Roman" w:cs="Times New Roman"/>
          <w:color w:val="000000"/>
          <w:sz w:val="28"/>
          <w:szCs w:val="28"/>
          <w:lang w:eastAsia="uk-UA"/>
        </w:rPr>
        <w:t>Долинської</w:t>
      </w:r>
      <w:proofErr w:type="spellEnd"/>
      <w:r w:rsidR="001B12A5"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 xml:space="preserve">міської ради. У разі якщо </w:t>
      </w:r>
      <w:proofErr w:type="spellStart"/>
      <w:r w:rsidR="001B12A5" w:rsidRPr="005D3C65">
        <w:rPr>
          <w:rFonts w:ascii="Times New Roman" w:eastAsia="Times New Roman" w:hAnsi="Times New Roman" w:cs="Times New Roman"/>
          <w:color w:val="000000"/>
          <w:sz w:val="28"/>
          <w:szCs w:val="28"/>
          <w:lang w:eastAsia="uk-UA"/>
        </w:rPr>
        <w:t>Долинською</w:t>
      </w:r>
      <w:proofErr w:type="spellEnd"/>
      <w:r w:rsidR="001B12A5"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міською радою не прийнято рішення про затвердження правил благоустрою та утримання територій, застосовуються Типові правила. При цьому не будуть враховані місцеві особливості, а отже не вдасться в повній мірі вирішити проблеми, зазначені в цьому розділі.</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711A2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Обґрунтування неможливості вирішення проблеми за допомогою діючих регуляторних актів</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Прийняття даного регуляторного акту дозволить врахувати як вимоги Типових правил благоустрою території населеного пункту, затверджених </w:t>
      </w:r>
      <w:r w:rsidR="00301222" w:rsidRPr="005D3C65">
        <w:rPr>
          <w:rFonts w:ascii="Times New Roman" w:eastAsia="Times New Roman" w:hAnsi="Times New Roman" w:cs="Times New Roman"/>
          <w:color w:val="000000"/>
          <w:sz w:val="28"/>
          <w:szCs w:val="28"/>
          <w:lang w:eastAsia="uk-UA"/>
        </w:rPr>
        <w:t>н</w:t>
      </w:r>
      <w:r w:rsidRPr="005D3C65">
        <w:rPr>
          <w:rFonts w:ascii="Times New Roman" w:eastAsia="Times New Roman" w:hAnsi="Times New Roman" w:cs="Times New Roman"/>
          <w:color w:val="000000"/>
          <w:sz w:val="28"/>
          <w:szCs w:val="28"/>
          <w:lang w:eastAsia="uk-UA"/>
        </w:rPr>
        <w:t xml:space="preserve">аказом Міністерства регіонального розвитку, будівництва та житлово-комунального господарства України від 27.11.2017 р. №310, так і особливості територій </w:t>
      </w:r>
      <w:r w:rsidRPr="005D3C65">
        <w:rPr>
          <w:rFonts w:ascii="Times New Roman" w:eastAsia="Times New Roman" w:hAnsi="Times New Roman" w:cs="Times New Roman"/>
          <w:color w:val="000000"/>
          <w:sz w:val="28"/>
          <w:szCs w:val="28"/>
          <w:lang w:eastAsia="uk-UA"/>
        </w:rPr>
        <w:lastRenderedPageBreak/>
        <w:t xml:space="preserve">населених пунктів </w:t>
      </w:r>
      <w:proofErr w:type="spellStart"/>
      <w:r w:rsidR="00301222" w:rsidRPr="005D3C65">
        <w:rPr>
          <w:rFonts w:ascii="Times New Roman" w:eastAsia="Times New Roman" w:hAnsi="Times New Roman" w:cs="Times New Roman"/>
          <w:color w:val="000000"/>
          <w:sz w:val="28"/>
          <w:szCs w:val="28"/>
          <w:lang w:eastAsia="uk-UA"/>
        </w:rPr>
        <w:t>Долинської</w:t>
      </w:r>
      <w:proofErr w:type="spellEnd"/>
      <w:r w:rsidR="00301222"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міської територіальної громади, відповідно до вимог законодавства.</w:t>
      </w:r>
    </w:p>
    <w:p w:rsidR="00D3257B" w:rsidRPr="005D3C65" w:rsidRDefault="00D3257B"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xml:space="preserve">II. Цілі </w:t>
      </w:r>
      <w:r w:rsidR="00E13140" w:rsidRPr="005D3C65">
        <w:rPr>
          <w:rFonts w:ascii="Times New Roman" w:eastAsia="Times New Roman" w:hAnsi="Times New Roman" w:cs="Times New Roman"/>
          <w:b/>
          <w:bCs/>
          <w:color w:val="000000"/>
          <w:sz w:val="28"/>
          <w:szCs w:val="28"/>
          <w:bdr w:val="none" w:sz="0" w:space="0" w:color="auto" w:frame="1"/>
          <w:lang w:eastAsia="uk-UA"/>
        </w:rPr>
        <w:t xml:space="preserve">нормативного </w:t>
      </w:r>
      <w:r w:rsidRPr="005D3C65">
        <w:rPr>
          <w:rFonts w:ascii="Times New Roman" w:eastAsia="Times New Roman" w:hAnsi="Times New Roman" w:cs="Times New Roman"/>
          <w:b/>
          <w:bCs/>
          <w:color w:val="000000"/>
          <w:sz w:val="28"/>
          <w:szCs w:val="28"/>
          <w:bdr w:val="none" w:sz="0" w:space="0" w:color="auto" w:frame="1"/>
          <w:lang w:eastAsia="uk-UA"/>
        </w:rPr>
        <w:t xml:space="preserve"> регулювання</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76076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Проект Правил благоустрою території </w:t>
      </w:r>
      <w:proofErr w:type="spellStart"/>
      <w:r w:rsidR="00301222" w:rsidRPr="005D3C65">
        <w:rPr>
          <w:rFonts w:ascii="Times New Roman" w:eastAsia="Times New Roman" w:hAnsi="Times New Roman" w:cs="Times New Roman"/>
          <w:color w:val="000000"/>
          <w:sz w:val="28"/>
          <w:szCs w:val="28"/>
          <w:lang w:eastAsia="uk-UA"/>
        </w:rPr>
        <w:t>Долинської</w:t>
      </w:r>
      <w:proofErr w:type="spellEnd"/>
      <w:r w:rsidR="00301222"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 xml:space="preserve">територіальної громади розроблено </w:t>
      </w:r>
      <w:r w:rsidR="001D3166" w:rsidRPr="005D3C65">
        <w:rPr>
          <w:rFonts w:ascii="Times New Roman" w:eastAsia="Times New Roman" w:hAnsi="Times New Roman" w:cs="Times New Roman"/>
          <w:color w:val="000000"/>
          <w:sz w:val="28"/>
          <w:szCs w:val="28"/>
          <w:lang w:eastAsia="uk-UA"/>
        </w:rPr>
        <w:t>з врахуванням</w:t>
      </w:r>
      <w:r w:rsidRPr="005D3C65">
        <w:rPr>
          <w:rFonts w:ascii="Times New Roman" w:eastAsia="Times New Roman" w:hAnsi="Times New Roman" w:cs="Times New Roman"/>
          <w:color w:val="000000"/>
          <w:sz w:val="28"/>
          <w:szCs w:val="28"/>
          <w:lang w:eastAsia="uk-UA"/>
        </w:rPr>
        <w:t xml:space="preserve"> Типових правил благоустрою території населеного пункту, затверджених</w:t>
      </w:r>
      <w:r w:rsidR="00301222" w:rsidRPr="005D3C65">
        <w:rPr>
          <w:rFonts w:ascii="Times New Roman" w:eastAsia="Times New Roman" w:hAnsi="Times New Roman" w:cs="Times New Roman"/>
          <w:color w:val="000000"/>
          <w:sz w:val="28"/>
          <w:szCs w:val="28"/>
          <w:lang w:eastAsia="uk-UA"/>
        </w:rPr>
        <w:t xml:space="preserve"> н</w:t>
      </w:r>
      <w:r w:rsidRPr="005D3C65">
        <w:rPr>
          <w:rFonts w:ascii="Times New Roman" w:eastAsia="Times New Roman" w:hAnsi="Times New Roman" w:cs="Times New Roman"/>
          <w:color w:val="000000"/>
          <w:sz w:val="28"/>
          <w:szCs w:val="28"/>
          <w:lang w:eastAsia="uk-UA"/>
        </w:rPr>
        <w:t>аказом Міністерства регіонального розвитку, будівництва та житлово-комунального господарства України від 27.11.2017 № 310.</w:t>
      </w:r>
    </w:p>
    <w:p w:rsidR="003F7C88" w:rsidRPr="005D3C65" w:rsidRDefault="003F7C88" w:rsidP="0076076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Основними цілями його прийняття є:</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встановлення </w:t>
      </w:r>
      <w:r w:rsidR="003F2D06" w:rsidRPr="005D3C65">
        <w:rPr>
          <w:rFonts w:ascii="Times New Roman" w:eastAsia="Times New Roman" w:hAnsi="Times New Roman" w:cs="Times New Roman"/>
          <w:color w:val="000000"/>
          <w:sz w:val="28"/>
          <w:szCs w:val="28"/>
          <w:lang w:eastAsia="uk-UA"/>
        </w:rPr>
        <w:t xml:space="preserve">нормативно </w:t>
      </w:r>
      <w:r w:rsidRPr="005D3C65">
        <w:rPr>
          <w:rFonts w:ascii="Times New Roman" w:eastAsia="Times New Roman" w:hAnsi="Times New Roman" w:cs="Times New Roman"/>
          <w:color w:val="000000"/>
          <w:sz w:val="28"/>
          <w:szCs w:val="28"/>
          <w:lang w:eastAsia="uk-UA"/>
        </w:rPr>
        <w:t>врегульованих прав та обов’язків учасників правовідносин у сфері благоустрою території населених пунктів;</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забезпечення діяльності підприємств різних форм власності та проживання мешканців в умовах, які відповідають належним санітарно-гігієнічним нормам та правилам;</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захисту довкілля, збереження об’єктів та елементів благоустрою, у тому числі зелених насаджень, їх раціональне використання, належне утримання та охорона;</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раціональне використання, належне утримання та охорона зелених насаджень та інших об’єктів і елементів благоустрою;</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догляд за територією населених пунктів та забезпечення їх належного санітарного стану і епідеміологічного благополуччя населення, створення сприятливого для життєдіяльності середовища;</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забезпечення відкритості процедури, прозорості дій  </w:t>
      </w:r>
      <w:proofErr w:type="spellStart"/>
      <w:r w:rsidR="00301222" w:rsidRPr="005D3C65">
        <w:rPr>
          <w:rFonts w:ascii="Times New Roman" w:eastAsia="Times New Roman" w:hAnsi="Times New Roman" w:cs="Times New Roman"/>
          <w:color w:val="000000"/>
          <w:sz w:val="28"/>
          <w:szCs w:val="28"/>
          <w:lang w:eastAsia="uk-UA"/>
        </w:rPr>
        <w:t>Долинської</w:t>
      </w:r>
      <w:proofErr w:type="spellEnd"/>
      <w:r w:rsidR="00301222"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міської ради та її виконавч</w:t>
      </w:r>
      <w:r w:rsidR="00301222" w:rsidRPr="005D3C65">
        <w:rPr>
          <w:rFonts w:ascii="Times New Roman" w:eastAsia="Times New Roman" w:hAnsi="Times New Roman" w:cs="Times New Roman"/>
          <w:color w:val="000000"/>
          <w:sz w:val="28"/>
          <w:szCs w:val="28"/>
          <w:lang w:eastAsia="uk-UA"/>
        </w:rPr>
        <w:t>их органів</w:t>
      </w:r>
      <w:r w:rsidRPr="005D3C65">
        <w:rPr>
          <w:rFonts w:ascii="Times New Roman" w:eastAsia="Times New Roman" w:hAnsi="Times New Roman" w:cs="Times New Roman"/>
          <w:color w:val="000000"/>
          <w:sz w:val="28"/>
          <w:szCs w:val="28"/>
          <w:lang w:eastAsia="uk-UA"/>
        </w:rPr>
        <w:t xml:space="preserve"> при вирішені питань благоустрою.</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Цей проект регуляторного акту має сприяти в цілому розв’язанню проблеми, зазначеної в попередньому розділі аналізу регуляторного впливу.</w:t>
      </w:r>
    </w:p>
    <w:p w:rsidR="00711A26" w:rsidRPr="005D3C65" w:rsidRDefault="00711A26"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III. Визначення та оцінка альтернативних способів досягнення цілей</w:t>
      </w:r>
    </w:p>
    <w:p w:rsidR="007D044A" w:rsidRPr="005D3C65" w:rsidRDefault="007D044A"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7D044A"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r w:rsidR="007D044A" w:rsidRPr="005D3C65">
        <w:rPr>
          <w:rFonts w:ascii="Times New Roman" w:hAnsi="Times New Roman" w:cs="Times New Roman"/>
          <w:b/>
          <w:color w:val="333333"/>
          <w:sz w:val="28"/>
          <w:szCs w:val="28"/>
          <w:shd w:val="clear" w:color="auto" w:fill="FFFFFF"/>
        </w:rPr>
        <w:t>1. Визначення альтернативних способів</w:t>
      </w:r>
    </w:p>
    <w:tbl>
      <w:tblPr>
        <w:tblpPr w:leftFromText="45" w:rightFromText="45" w:vertAnchor="text" w:horzAnchor="margin" w:tblpXSpec="center" w:tblpY="382"/>
        <w:tblW w:w="10650" w:type="dxa"/>
        <w:tblCellMar>
          <w:left w:w="0" w:type="dxa"/>
          <w:right w:w="0" w:type="dxa"/>
        </w:tblCellMar>
        <w:tblLook w:val="04A0" w:firstRow="1" w:lastRow="0" w:firstColumn="1" w:lastColumn="0" w:noHBand="0" w:noVBand="1"/>
      </w:tblPr>
      <w:tblGrid>
        <w:gridCol w:w="2451"/>
        <w:gridCol w:w="8199"/>
      </w:tblGrid>
      <w:tr w:rsidR="007D044A" w:rsidRPr="005D3C65" w:rsidTr="00AB2614">
        <w:tc>
          <w:tcPr>
            <w:tcW w:w="245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7D044A" w:rsidRPr="005D3C65" w:rsidRDefault="007D044A"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Вид альтернативи</w:t>
            </w:r>
          </w:p>
        </w:tc>
        <w:tc>
          <w:tcPr>
            <w:tcW w:w="819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7D044A" w:rsidRPr="005D3C65" w:rsidRDefault="007D044A"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Опис альтернативи</w:t>
            </w:r>
          </w:p>
        </w:tc>
      </w:tr>
      <w:tr w:rsidR="007D044A" w:rsidRPr="005D3C65" w:rsidTr="00AB2614">
        <w:tc>
          <w:tcPr>
            <w:tcW w:w="245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7D044A" w:rsidRPr="005D3C65" w:rsidRDefault="007D044A"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1</w:t>
            </w:r>
          </w:p>
          <w:p w:rsidR="007D044A" w:rsidRPr="005D3C65" w:rsidRDefault="007D044A"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 прийняття регуляторного акту (залишення існуючої на даний момент ситуації без змін)</w:t>
            </w:r>
          </w:p>
        </w:tc>
        <w:tc>
          <w:tcPr>
            <w:tcW w:w="819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7D044A" w:rsidRPr="005D3C65" w:rsidRDefault="007D044A"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є неприйнятною, оскільки не відповідає вимогам чинного законодавства України. Діючі норми та правила певним чином застарілі і не дають змоги використовувати свої права в галузі благоустрою суб’єктами господарювання, територіальній громаді та окремим мешканцям.</w:t>
            </w:r>
          </w:p>
        </w:tc>
      </w:tr>
      <w:tr w:rsidR="007D044A" w:rsidRPr="005D3C65" w:rsidTr="00AB2614">
        <w:tc>
          <w:tcPr>
            <w:tcW w:w="2451"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7D044A" w:rsidRPr="005D3C65" w:rsidRDefault="007D044A"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2</w:t>
            </w:r>
          </w:p>
          <w:p w:rsidR="007D044A" w:rsidRPr="005D3C65" w:rsidRDefault="007D044A"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Прийняття регуляторного акту</w:t>
            </w:r>
          </w:p>
        </w:tc>
        <w:tc>
          <w:tcPr>
            <w:tcW w:w="819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7D044A" w:rsidRPr="005D3C65" w:rsidRDefault="007D044A"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Затвердження Правил: забезпечить розмежування відповідальності між суб’єктами господарювання, населенням та </w:t>
            </w:r>
            <w:proofErr w:type="spellStart"/>
            <w:r w:rsidRPr="005D3C65">
              <w:rPr>
                <w:rFonts w:ascii="Times New Roman" w:eastAsia="Times New Roman" w:hAnsi="Times New Roman" w:cs="Times New Roman"/>
                <w:color w:val="000000"/>
                <w:sz w:val="28"/>
                <w:szCs w:val="28"/>
                <w:lang w:eastAsia="uk-UA"/>
              </w:rPr>
              <w:t>Долинською</w:t>
            </w:r>
            <w:proofErr w:type="spellEnd"/>
            <w:r w:rsidRPr="005D3C65">
              <w:rPr>
                <w:rFonts w:ascii="Times New Roman" w:eastAsia="Times New Roman" w:hAnsi="Times New Roman" w:cs="Times New Roman"/>
                <w:color w:val="000000"/>
                <w:sz w:val="28"/>
                <w:szCs w:val="28"/>
                <w:lang w:eastAsia="uk-UA"/>
              </w:rPr>
              <w:t xml:space="preserve"> міською радою та її виконавчими органами; забезпечить досягнення цілей щодо вирішення наявних </w:t>
            </w:r>
            <w:r w:rsidRPr="005D3C65">
              <w:rPr>
                <w:rFonts w:ascii="Times New Roman" w:eastAsia="Times New Roman" w:hAnsi="Times New Roman" w:cs="Times New Roman"/>
                <w:color w:val="000000"/>
                <w:sz w:val="28"/>
                <w:szCs w:val="28"/>
                <w:lang w:eastAsia="uk-UA"/>
              </w:rPr>
              <w:lastRenderedPageBreak/>
              <w:t xml:space="preserve">проблемних питань у сфері благоустрою; забезпечить контроль у сфері благоустрою; покращить інженерно-технічний і санітарний стан об’єктів благоустрою, їх естетичний вигляд; поліпшить умови захисту і відновлення сприятливого для життєдіяльності населення довкілля під час утримання об’єктів благоустрою; </w:t>
            </w:r>
            <w:proofErr w:type="spellStart"/>
            <w:r w:rsidRPr="005D3C65">
              <w:rPr>
                <w:rFonts w:ascii="Times New Roman" w:eastAsia="Times New Roman" w:hAnsi="Times New Roman" w:cs="Times New Roman"/>
                <w:color w:val="000000"/>
                <w:sz w:val="28"/>
                <w:szCs w:val="28"/>
                <w:lang w:eastAsia="uk-UA"/>
              </w:rPr>
              <w:t>надасть</w:t>
            </w:r>
            <w:proofErr w:type="spellEnd"/>
            <w:r w:rsidRPr="005D3C65">
              <w:rPr>
                <w:rFonts w:ascii="Times New Roman" w:eastAsia="Times New Roman" w:hAnsi="Times New Roman" w:cs="Times New Roman"/>
                <w:color w:val="000000"/>
                <w:sz w:val="28"/>
                <w:szCs w:val="28"/>
                <w:lang w:eastAsia="uk-UA"/>
              </w:rPr>
              <w:t xml:space="preserve"> змогу вживати заходів контролю у сфері благоустрою населеного пункту (розглядати справи про адміністративні правопорушення, складати протоколи про правопорушення), передбачені статтями 152, 218, 219, 255 Кодексу України про адміністративні правопорушення</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3F7C88" w:rsidRPr="005D3C65" w:rsidRDefault="00CF7ED0"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2.</w:t>
      </w:r>
      <w:r w:rsidR="003F7C88" w:rsidRPr="005D3C65">
        <w:rPr>
          <w:rFonts w:ascii="Times New Roman" w:eastAsia="Times New Roman" w:hAnsi="Times New Roman" w:cs="Times New Roman"/>
          <w:b/>
          <w:bCs/>
          <w:color w:val="000000"/>
          <w:sz w:val="28"/>
          <w:szCs w:val="28"/>
          <w:bdr w:val="none" w:sz="0" w:space="0" w:color="auto" w:frame="1"/>
          <w:lang w:eastAsia="uk-UA"/>
        </w:rPr>
        <w:t>Оцінка вибраних альтернативних способів досягнення цілей</w:t>
      </w:r>
    </w:p>
    <w:tbl>
      <w:tblPr>
        <w:tblW w:w="10650" w:type="dxa"/>
        <w:tblInd w:w="-783" w:type="dxa"/>
        <w:tblCellMar>
          <w:left w:w="0" w:type="dxa"/>
          <w:right w:w="0" w:type="dxa"/>
        </w:tblCellMar>
        <w:tblLook w:val="04A0" w:firstRow="1" w:lastRow="0" w:firstColumn="1" w:lastColumn="0" w:noHBand="0" w:noVBand="1"/>
      </w:tblPr>
      <w:tblGrid>
        <w:gridCol w:w="2454"/>
        <w:gridCol w:w="4761"/>
        <w:gridCol w:w="3266"/>
        <w:gridCol w:w="169"/>
      </w:tblGrid>
      <w:tr w:rsidR="003F7C88" w:rsidRPr="005D3C65" w:rsidTr="00550E1E">
        <w:tc>
          <w:tcPr>
            <w:tcW w:w="10650" w:type="dxa"/>
            <w:gridSpan w:val="4"/>
            <w:tcBorders>
              <w:top w:val="outset" w:sz="6" w:space="0" w:color="auto"/>
              <w:left w:val="nil"/>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b/>
                <w:color w:val="000000"/>
                <w:sz w:val="28"/>
                <w:szCs w:val="28"/>
                <w:lang w:eastAsia="uk-UA"/>
              </w:rPr>
            </w:pPr>
            <w:r w:rsidRPr="005D3C65">
              <w:rPr>
                <w:rFonts w:ascii="Times New Roman" w:eastAsia="Times New Roman" w:hAnsi="Times New Roman" w:cs="Times New Roman"/>
                <w:b/>
                <w:color w:val="000000"/>
                <w:sz w:val="28"/>
                <w:szCs w:val="28"/>
                <w:lang w:eastAsia="uk-UA"/>
              </w:rPr>
              <w:t>Оцінка впливу на сферу інтересів держави</w:t>
            </w:r>
          </w:p>
        </w:tc>
      </w:tr>
      <w:tr w:rsidR="003F7C88" w:rsidRPr="005D3C65" w:rsidTr="00550E1E">
        <w:tc>
          <w:tcPr>
            <w:tcW w:w="245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Вид альтернативи</w:t>
            </w:r>
          </w:p>
        </w:tc>
        <w:tc>
          <w:tcPr>
            <w:tcW w:w="476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Вигоди</w:t>
            </w:r>
          </w:p>
        </w:tc>
        <w:tc>
          <w:tcPr>
            <w:tcW w:w="326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w:t>
            </w:r>
          </w:p>
        </w:tc>
        <w:tc>
          <w:tcPr>
            <w:tcW w:w="16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rPr>
                <w:rFonts w:ascii="Times New Roman" w:eastAsia="Times New Roman" w:hAnsi="Times New Roman" w:cs="Times New Roman"/>
                <w:color w:val="212529"/>
                <w:sz w:val="28"/>
                <w:szCs w:val="28"/>
                <w:lang w:eastAsia="uk-UA"/>
              </w:rPr>
            </w:pPr>
          </w:p>
        </w:tc>
      </w:tr>
      <w:tr w:rsidR="003F7C88" w:rsidRPr="005D3C65" w:rsidTr="00550E1E">
        <w:tc>
          <w:tcPr>
            <w:tcW w:w="245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1</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 прийняття регуляторного акту (залишення існуючої на даний момент ситуації без змін)</w:t>
            </w:r>
          </w:p>
        </w:tc>
        <w:tc>
          <w:tcPr>
            <w:tcW w:w="476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w:t>
            </w:r>
          </w:p>
        </w:tc>
        <w:tc>
          <w:tcPr>
            <w:tcW w:w="326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є неприйнятною, оскільки не відповідає вимогам чинного законодавства України</w:t>
            </w:r>
          </w:p>
        </w:tc>
        <w:tc>
          <w:tcPr>
            <w:tcW w:w="16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rPr>
                <w:rFonts w:ascii="Times New Roman" w:eastAsia="Times New Roman" w:hAnsi="Times New Roman" w:cs="Times New Roman"/>
                <w:color w:val="212529"/>
                <w:sz w:val="28"/>
                <w:szCs w:val="28"/>
                <w:lang w:eastAsia="uk-UA"/>
              </w:rPr>
            </w:pPr>
          </w:p>
        </w:tc>
      </w:tr>
      <w:tr w:rsidR="003F7C88" w:rsidRPr="005D3C65" w:rsidTr="00550E1E">
        <w:tc>
          <w:tcPr>
            <w:tcW w:w="245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2</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Прийняття регуляторного акту</w:t>
            </w:r>
          </w:p>
        </w:tc>
        <w:tc>
          <w:tcPr>
            <w:tcW w:w="4761"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Затвердження Правил: забезпечить розмежування відповідальності між суб’єктами господарювання, населенням та </w:t>
            </w:r>
            <w:proofErr w:type="spellStart"/>
            <w:r w:rsidR="00A2693C" w:rsidRPr="005D3C65">
              <w:rPr>
                <w:rFonts w:ascii="Times New Roman" w:eastAsia="Times New Roman" w:hAnsi="Times New Roman" w:cs="Times New Roman"/>
                <w:color w:val="000000"/>
                <w:sz w:val="28"/>
                <w:szCs w:val="28"/>
                <w:lang w:eastAsia="uk-UA"/>
              </w:rPr>
              <w:t>Долинською</w:t>
            </w:r>
            <w:proofErr w:type="spellEnd"/>
            <w:r w:rsidR="00A2693C"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міською радою; забезпечить досягнення цілей щодо вирішення наявних проблемних питань у сфері благоустрою; забезпечить контроль у сфері благоустрою;</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 покращить інженерно-технічний і санітарний стан об’єктів благоустрою, їх естетичний вигляд; поліпшить умови захисту і відновлення сприятливого для життєдіяльності населення довкілля під час утримання об’єктів благоустрою; надасть змогу вживати заходів контролю у сфері благоустрою населеного пункту </w:t>
            </w:r>
            <w:r w:rsidRPr="005D3C65">
              <w:rPr>
                <w:rFonts w:ascii="Times New Roman" w:eastAsia="Times New Roman" w:hAnsi="Times New Roman" w:cs="Times New Roman"/>
                <w:color w:val="000000"/>
                <w:sz w:val="28"/>
                <w:szCs w:val="28"/>
                <w:lang w:eastAsia="uk-UA"/>
              </w:rPr>
              <w:lastRenderedPageBreak/>
              <w:t>(розглядати справи про адміністративні правопорушення, складати протоколи про правопорушення), передбачені статтями 152, 218, 219, 255 кодексу України про адміністративні правопорушення</w:t>
            </w:r>
          </w:p>
        </w:tc>
        <w:tc>
          <w:tcPr>
            <w:tcW w:w="3266"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B35D7F"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Відсутні, оскільки реалізація акту не потребує додаткових матеріальних та інших витрат</w:t>
            </w:r>
          </w:p>
        </w:tc>
        <w:tc>
          <w:tcPr>
            <w:tcW w:w="16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rPr>
                <w:rFonts w:ascii="Times New Roman" w:eastAsia="Times New Roman" w:hAnsi="Times New Roman" w:cs="Times New Roman"/>
                <w:color w:val="212529"/>
                <w:sz w:val="28"/>
                <w:szCs w:val="28"/>
                <w:lang w:eastAsia="uk-UA"/>
              </w:rPr>
            </w:pP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lastRenderedPageBreak/>
        <w:t> </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Оцінка впливу на сферу інтересів громадян</w:t>
      </w:r>
    </w:p>
    <w:tbl>
      <w:tblPr>
        <w:tblW w:w="10650" w:type="dxa"/>
        <w:tblCellMar>
          <w:left w:w="0" w:type="dxa"/>
          <w:right w:w="0" w:type="dxa"/>
        </w:tblCellMar>
        <w:tblLook w:val="04A0" w:firstRow="1" w:lastRow="0" w:firstColumn="1" w:lastColumn="0" w:noHBand="0" w:noVBand="1"/>
      </w:tblPr>
      <w:tblGrid>
        <w:gridCol w:w="2634"/>
        <w:gridCol w:w="3820"/>
        <w:gridCol w:w="4196"/>
      </w:tblGrid>
      <w:tr w:rsidR="003F7C88" w:rsidRPr="005D3C65" w:rsidTr="00550E1E">
        <w:tc>
          <w:tcPr>
            <w:tcW w:w="263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Вид альтернативи</w:t>
            </w:r>
          </w:p>
        </w:tc>
        <w:tc>
          <w:tcPr>
            <w:tcW w:w="382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Вигоди</w:t>
            </w:r>
          </w:p>
        </w:tc>
        <w:tc>
          <w:tcPr>
            <w:tcW w:w="4196"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w:t>
            </w:r>
          </w:p>
        </w:tc>
      </w:tr>
      <w:tr w:rsidR="003F7C88" w:rsidRPr="005D3C65" w:rsidTr="00550E1E">
        <w:tc>
          <w:tcPr>
            <w:tcW w:w="263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1</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 прийняття регуляторного акту (залишення існуючої на даний момент ситуації без змін)</w:t>
            </w:r>
          </w:p>
        </w:tc>
        <w:tc>
          <w:tcPr>
            <w:tcW w:w="382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w:t>
            </w:r>
          </w:p>
        </w:tc>
        <w:tc>
          <w:tcPr>
            <w:tcW w:w="4196"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є неприйнятною, оскільки не відповідає вимогам чинного законодавства України</w:t>
            </w:r>
          </w:p>
        </w:tc>
      </w:tr>
      <w:tr w:rsidR="003F7C88" w:rsidRPr="005D3C65" w:rsidTr="00550E1E">
        <w:tc>
          <w:tcPr>
            <w:tcW w:w="263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2</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Прийняття регуляторного акту</w:t>
            </w:r>
          </w:p>
        </w:tc>
        <w:tc>
          <w:tcPr>
            <w:tcW w:w="382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Чітке визначення прав та розподіл обов’язків у сфері благоустрою між громадянами, органами влади, установами, організаціями та суб’єктами господарювання, відповідальними за утримання об’єктів благоустрою на території населених пунктів </w:t>
            </w:r>
            <w:proofErr w:type="spellStart"/>
            <w:r w:rsidR="00A2693C" w:rsidRPr="005D3C65">
              <w:rPr>
                <w:rFonts w:ascii="Times New Roman" w:eastAsia="Times New Roman" w:hAnsi="Times New Roman" w:cs="Times New Roman"/>
                <w:color w:val="000000"/>
                <w:sz w:val="28"/>
                <w:szCs w:val="28"/>
                <w:lang w:eastAsia="uk-UA"/>
              </w:rPr>
              <w:t>Долинської</w:t>
            </w:r>
            <w:proofErr w:type="spellEnd"/>
            <w:r w:rsidR="00A2693C"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 xml:space="preserve"> територіальної громади</w:t>
            </w:r>
          </w:p>
        </w:tc>
        <w:tc>
          <w:tcPr>
            <w:tcW w:w="4196"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B35D7F" w:rsidP="00B35D7F">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 оскільки реалізація акту не потребує додаткових матеріальних та інших витрат</w:t>
            </w:r>
            <w:r w:rsidR="003F7C88" w:rsidRPr="005D3C65">
              <w:rPr>
                <w:rFonts w:ascii="Times New Roman" w:eastAsia="Times New Roman" w:hAnsi="Times New Roman" w:cs="Times New Roman"/>
                <w:color w:val="000000"/>
                <w:sz w:val="28"/>
                <w:szCs w:val="28"/>
                <w:lang w:eastAsia="uk-UA"/>
              </w:rPr>
              <w:t>.</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Оцінка впливу на сферу інтересів суб'єктів господарювання*</w:t>
      </w:r>
    </w:p>
    <w:tbl>
      <w:tblPr>
        <w:tblW w:w="10650" w:type="dxa"/>
        <w:tblCellMar>
          <w:left w:w="0" w:type="dxa"/>
          <w:right w:w="0" w:type="dxa"/>
        </w:tblCellMar>
        <w:tblLook w:val="04A0" w:firstRow="1" w:lastRow="0" w:firstColumn="1" w:lastColumn="0" w:noHBand="0" w:noVBand="1"/>
      </w:tblPr>
      <w:tblGrid>
        <w:gridCol w:w="5224"/>
        <w:gridCol w:w="1053"/>
        <w:gridCol w:w="1196"/>
        <w:gridCol w:w="1081"/>
        <w:gridCol w:w="1081"/>
        <w:gridCol w:w="1015"/>
      </w:tblGrid>
      <w:tr w:rsidR="00437CF9" w:rsidRPr="005D3C65" w:rsidTr="003F7C88">
        <w:tc>
          <w:tcPr>
            <w:tcW w:w="478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Показник</w:t>
            </w:r>
          </w:p>
        </w:tc>
        <w:tc>
          <w:tcPr>
            <w:tcW w:w="91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Великі</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Середні</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Малі</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Мікро</w:t>
            </w:r>
          </w:p>
        </w:tc>
        <w:tc>
          <w:tcPr>
            <w:tcW w:w="93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Разом</w:t>
            </w:r>
          </w:p>
        </w:tc>
      </w:tr>
      <w:tr w:rsidR="00437CF9" w:rsidRPr="005D3C65" w:rsidTr="003F7C88">
        <w:tc>
          <w:tcPr>
            <w:tcW w:w="478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Кількість суб’єктів господарювання, що підпадають під регулювання, одиниць</w:t>
            </w:r>
          </w:p>
        </w:tc>
        <w:tc>
          <w:tcPr>
            <w:tcW w:w="91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A00DF6" w:rsidP="00A00DF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A00DF6" w:rsidP="00A00DF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23</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A00DF6" w:rsidP="00A00DF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60</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A00DF6" w:rsidP="00A00DF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1566</w:t>
            </w:r>
          </w:p>
        </w:tc>
        <w:tc>
          <w:tcPr>
            <w:tcW w:w="93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A00DF6" w:rsidP="00A00DF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1651</w:t>
            </w:r>
          </w:p>
        </w:tc>
      </w:tr>
      <w:tr w:rsidR="00437CF9" w:rsidRPr="005D3C65" w:rsidTr="003F7C88">
        <w:tc>
          <w:tcPr>
            <w:tcW w:w="478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Питома вага групи у загальній кількості</w:t>
            </w:r>
          </w:p>
        </w:tc>
        <w:tc>
          <w:tcPr>
            <w:tcW w:w="91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A00DF6" w:rsidP="00A00DF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0.12</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A00DF6" w:rsidP="00A00DF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1.40</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CF1996" w:rsidP="00CF199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3.63</w:t>
            </w:r>
          </w:p>
        </w:tc>
        <w:tc>
          <w:tcPr>
            <w:tcW w:w="9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CF1996" w:rsidP="00CF199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94.85</w:t>
            </w:r>
          </w:p>
        </w:tc>
        <w:tc>
          <w:tcPr>
            <w:tcW w:w="93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100</w:t>
            </w:r>
          </w:p>
        </w:tc>
      </w:tr>
    </w:tbl>
    <w:p w:rsidR="003F7C88" w:rsidRPr="005D3C65" w:rsidRDefault="003F7C88" w:rsidP="00D3257B">
      <w:pPr>
        <w:numPr>
          <w:ilvl w:val="1"/>
          <w:numId w:val="4"/>
        </w:numPr>
        <w:shd w:val="clear" w:color="auto" w:fill="FFFFFF"/>
        <w:spacing w:after="0" w:line="240" w:lineRule="auto"/>
        <w:ind w:left="0"/>
        <w:jc w:val="both"/>
        <w:textAlignment w:val="baseline"/>
        <w:rPr>
          <w:rFonts w:ascii="Times New Roman" w:eastAsia="Times New Roman" w:hAnsi="Times New Roman" w:cs="Times New Roman"/>
          <w:color w:val="212529"/>
          <w:sz w:val="28"/>
          <w:szCs w:val="28"/>
          <w:lang w:eastAsia="uk-UA"/>
        </w:rPr>
      </w:pPr>
      <w:r w:rsidRPr="005D3C65">
        <w:rPr>
          <w:rFonts w:ascii="Times New Roman" w:eastAsia="Times New Roman" w:hAnsi="Times New Roman" w:cs="Times New Roman"/>
          <w:color w:val="212529"/>
          <w:sz w:val="28"/>
          <w:szCs w:val="28"/>
          <w:lang w:eastAsia="uk-UA"/>
        </w:rPr>
        <w:t>*статистичні данні</w:t>
      </w:r>
    </w:p>
    <w:p w:rsidR="003F7C88" w:rsidRPr="005D3C65" w:rsidRDefault="003F7C88" w:rsidP="00D3257B">
      <w:pPr>
        <w:numPr>
          <w:ilvl w:val="1"/>
          <w:numId w:val="4"/>
        </w:numPr>
        <w:shd w:val="clear" w:color="auto" w:fill="FFFFFF"/>
        <w:spacing w:after="0" w:line="240" w:lineRule="auto"/>
        <w:ind w:left="0"/>
        <w:jc w:val="both"/>
        <w:textAlignment w:val="baseline"/>
        <w:rPr>
          <w:rFonts w:ascii="Times New Roman" w:eastAsia="Times New Roman" w:hAnsi="Times New Roman" w:cs="Times New Roman"/>
          <w:color w:val="212529"/>
          <w:sz w:val="28"/>
          <w:szCs w:val="28"/>
          <w:lang w:eastAsia="uk-UA"/>
        </w:rPr>
      </w:pP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212529"/>
          <w:sz w:val="28"/>
          <w:szCs w:val="28"/>
          <w:lang w:eastAsia="uk-UA"/>
        </w:rPr>
      </w:pPr>
    </w:p>
    <w:tbl>
      <w:tblPr>
        <w:tblW w:w="10650" w:type="dxa"/>
        <w:tblCellMar>
          <w:left w:w="0" w:type="dxa"/>
          <w:right w:w="0" w:type="dxa"/>
        </w:tblCellMar>
        <w:tblLook w:val="04A0" w:firstRow="1" w:lastRow="0" w:firstColumn="1" w:lastColumn="0" w:noHBand="0" w:noVBand="1"/>
      </w:tblPr>
      <w:tblGrid>
        <w:gridCol w:w="3285"/>
        <w:gridCol w:w="1244"/>
        <w:gridCol w:w="2671"/>
        <w:gridCol w:w="3450"/>
      </w:tblGrid>
      <w:tr w:rsidR="003F7C88" w:rsidRPr="005D3C65" w:rsidTr="003F7C88">
        <w:tc>
          <w:tcPr>
            <w:tcW w:w="297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Вид альтернативи</w:t>
            </w:r>
          </w:p>
        </w:tc>
        <w:tc>
          <w:tcPr>
            <w:tcW w:w="354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Вигоди</w:t>
            </w:r>
          </w:p>
        </w:tc>
        <w:tc>
          <w:tcPr>
            <w:tcW w:w="309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w:t>
            </w:r>
          </w:p>
        </w:tc>
      </w:tr>
      <w:tr w:rsidR="003F7C88" w:rsidRPr="005D3C65" w:rsidTr="003F7C88">
        <w:tc>
          <w:tcPr>
            <w:tcW w:w="297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1</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 прийняття регуляторного акту (залишення існуючої на даний момент ситуації без змін)</w:t>
            </w:r>
          </w:p>
        </w:tc>
        <w:tc>
          <w:tcPr>
            <w:tcW w:w="354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Для суб’єктів господарювання, які не уклали договори на вивезення твердих побутових відходів – економія коштів у сумі несплачених сум за вивіз твердих побутових відходів.</w:t>
            </w:r>
          </w:p>
        </w:tc>
        <w:tc>
          <w:tcPr>
            <w:tcW w:w="309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є неприйнятною, оскільки не відповідає вимогам чинного законодавства України.</w:t>
            </w:r>
          </w:p>
        </w:tc>
      </w:tr>
      <w:tr w:rsidR="003F7C88" w:rsidRPr="005D3C65" w:rsidTr="003F7C88">
        <w:tc>
          <w:tcPr>
            <w:tcW w:w="297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2</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Прийняття регуляторного акту</w:t>
            </w:r>
          </w:p>
        </w:tc>
        <w:tc>
          <w:tcPr>
            <w:tcW w:w="354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Чітке визначення прав та розподіл обов’язків у сфері благоустрою між громадянами, органами влади, установами, організаціями та суб’єктами господарювання, відповідальними за утримання об’єктів благоустрою на території населених пунктів </w:t>
            </w:r>
            <w:proofErr w:type="spellStart"/>
            <w:r w:rsidR="00A2693C" w:rsidRPr="005D3C65">
              <w:rPr>
                <w:rFonts w:ascii="Times New Roman" w:eastAsia="Times New Roman" w:hAnsi="Times New Roman" w:cs="Times New Roman"/>
                <w:color w:val="000000"/>
                <w:sz w:val="28"/>
                <w:szCs w:val="28"/>
                <w:lang w:eastAsia="uk-UA"/>
              </w:rPr>
              <w:t>Долинської</w:t>
            </w:r>
            <w:proofErr w:type="spellEnd"/>
            <w:r w:rsidR="00A2693C"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територіальної громади</w:t>
            </w:r>
          </w:p>
        </w:tc>
        <w:tc>
          <w:tcPr>
            <w:tcW w:w="309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B35D7F"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 оскільки реалізація акту не потребує додаткових матеріальних та інших витрат</w:t>
            </w:r>
          </w:p>
        </w:tc>
      </w:tr>
      <w:tr w:rsidR="003F7C88" w:rsidRPr="005D3C65" w:rsidTr="003F7C88">
        <w:tc>
          <w:tcPr>
            <w:tcW w:w="4095" w:type="dxa"/>
            <w:gridSpan w:val="2"/>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Сумарні витрати за альтернативами</w:t>
            </w:r>
          </w:p>
        </w:tc>
        <w:tc>
          <w:tcPr>
            <w:tcW w:w="5535" w:type="dxa"/>
            <w:gridSpan w:val="2"/>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Сума витрат, гривень</w:t>
            </w:r>
          </w:p>
        </w:tc>
      </w:tr>
      <w:tr w:rsidR="003F7C88" w:rsidRPr="005D3C65" w:rsidTr="003F7C88">
        <w:tc>
          <w:tcPr>
            <w:tcW w:w="4095" w:type="dxa"/>
            <w:gridSpan w:val="2"/>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1</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 прийняття регуляторного акту (залишення існуючої на даний момент ситуації без змін)</w:t>
            </w:r>
          </w:p>
        </w:tc>
        <w:tc>
          <w:tcPr>
            <w:tcW w:w="5535" w:type="dxa"/>
            <w:gridSpan w:val="2"/>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w:t>
            </w:r>
          </w:p>
        </w:tc>
      </w:tr>
      <w:tr w:rsidR="003F7C88" w:rsidRPr="005D3C65" w:rsidTr="003F7C88">
        <w:tc>
          <w:tcPr>
            <w:tcW w:w="4095" w:type="dxa"/>
            <w:gridSpan w:val="2"/>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2</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Прийняття регуляторного акту</w:t>
            </w:r>
          </w:p>
        </w:tc>
        <w:tc>
          <w:tcPr>
            <w:tcW w:w="5535" w:type="dxa"/>
            <w:gridSpan w:val="2"/>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E739D0" w:rsidP="00E739D0">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w:t>
            </w:r>
            <w:r w:rsidR="003F7C88" w:rsidRPr="005D3C65">
              <w:rPr>
                <w:rFonts w:ascii="Times New Roman" w:eastAsia="Times New Roman" w:hAnsi="Times New Roman" w:cs="Times New Roman"/>
                <w:color w:val="000000"/>
                <w:sz w:val="28"/>
                <w:szCs w:val="28"/>
                <w:lang w:eastAsia="uk-UA"/>
              </w:rPr>
              <w:t>.</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Витрати суб’єктів господарювання великого і середнього підприємництва</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(розрахунок витрат у додатку 1 до АВРА)</w:t>
      </w:r>
    </w:p>
    <w:tbl>
      <w:tblPr>
        <w:tblW w:w="10650" w:type="dxa"/>
        <w:tblCellMar>
          <w:left w:w="0" w:type="dxa"/>
          <w:right w:w="0" w:type="dxa"/>
        </w:tblCellMar>
        <w:tblLook w:val="04A0" w:firstRow="1" w:lastRow="0" w:firstColumn="1" w:lastColumn="0" w:noHBand="0" w:noVBand="1"/>
      </w:tblPr>
      <w:tblGrid>
        <w:gridCol w:w="7834"/>
        <w:gridCol w:w="2816"/>
      </w:tblGrid>
      <w:tr w:rsidR="003F7C88" w:rsidRPr="005D3C65" w:rsidTr="003F7C88">
        <w:tc>
          <w:tcPr>
            <w:tcW w:w="709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Сумарні витрати за альтернативами</w:t>
            </w:r>
          </w:p>
        </w:tc>
        <w:tc>
          <w:tcPr>
            <w:tcW w:w="255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Сума витрат, грн</w:t>
            </w:r>
          </w:p>
        </w:tc>
      </w:tr>
      <w:tr w:rsidR="003F7C88" w:rsidRPr="005D3C65" w:rsidTr="003F7C88">
        <w:tc>
          <w:tcPr>
            <w:tcW w:w="709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1. Сумарні витрати для суб’єктів господарювання великого і середнього підприємництва</w:t>
            </w:r>
          </w:p>
        </w:tc>
        <w:tc>
          <w:tcPr>
            <w:tcW w:w="255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c>
          <w:tcPr>
            <w:tcW w:w="709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Альтернатива 2. Сумарні витрати для суб’єктів господарювання великого і середнього підприємництва</w:t>
            </w:r>
          </w:p>
        </w:tc>
        <w:tc>
          <w:tcPr>
            <w:tcW w:w="255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E739D0" w:rsidP="00E739D0">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w:t>
            </w:r>
          </w:p>
        </w:tc>
      </w:tr>
    </w:tbl>
    <w:p w:rsidR="00693025" w:rsidRPr="005D3C65" w:rsidRDefault="00693025"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693025">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IV. Вибір найбільш оптимального альтернативного способу досягнення цілей</w:t>
      </w:r>
    </w:p>
    <w:tbl>
      <w:tblPr>
        <w:tblW w:w="10650" w:type="dxa"/>
        <w:tblCellMar>
          <w:left w:w="0" w:type="dxa"/>
          <w:right w:w="0" w:type="dxa"/>
        </w:tblCellMar>
        <w:tblLook w:val="04A0" w:firstRow="1" w:lastRow="0" w:firstColumn="1" w:lastColumn="0" w:noHBand="0" w:noVBand="1"/>
      </w:tblPr>
      <w:tblGrid>
        <w:gridCol w:w="2390"/>
        <w:gridCol w:w="744"/>
        <w:gridCol w:w="2104"/>
        <w:gridCol w:w="1329"/>
        <w:gridCol w:w="1329"/>
        <w:gridCol w:w="2754"/>
      </w:tblGrid>
      <w:tr w:rsidR="003F7C88" w:rsidRPr="005D3C65" w:rsidTr="003F7C88">
        <w:tc>
          <w:tcPr>
            <w:tcW w:w="2970" w:type="dxa"/>
            <w:gridSpan w:val="2"/>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Рейтинг результативності (досягнення цілей під час вирішення проблеми)</w:t>
            </w:r>
          </w:p>
        </w:tc>
        <w:tc>
          <w:tcPr>
            <w:tcW w:w="3255"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Бал результативності (за чотирибальною системою оцінки)</w:t>
            </w:r>
          </w:p>
        </w:tc>
        <w:tc>
          <w:tcPr>
            <w:tcW w:w="3375" w:type="dxa"/>
            <w:gridSpan w:val="2"/>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Коментарі щодо присвоєння відповідного балу</w:t>
            </w:r>
          </w:p>
        </w:tc>
      </w:tr>
      <w:tr w:rsidR="003F7C88" w:rsidRPr="005D3C65" w:rsidTr="003F7C88">
        <w:tc>
          <w:tcPr>
            <w:tcW w:w="2970" w:type="dxa"/>
            <w:gridSpan w:val="2"/>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1</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 прийняття регуляторного акту (залишення існуючої на даний момент ситуації без змін)</w:t>
            </w:r>
          </w:p>
        </w:tc>
        <w:tc>
          <w:tcPr>
            <w:tcW w:w="3255"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1 - цілі прийняття регуляторного акту не можуть бути досягнуті (проблема продовжує існувати)</w:t>
            </w:r>
          </w:p>
        </w:tc>
        <w:tc>
          <w:tcPr>
            <w:tcW w:w="3375" w:type="dxa"/>
            <w:gridSpan w:val="2"/>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Дана альтернатива є неприйнятною,оскільки не відповідає вимогам чинного законодавства України</w:t>
            </w:r>
          </w:p>
        </w:tc>
      </w:tr>
      <w:tr w:rsidR="003F7C88" w:rsidRPr="005D3C65" w:rsidTr="003F7C88">
        <w:tc>
          <w:tcPr>
            <w:tcW w:w="2970" w:type="dxa"/>
            <w:gridSpan w:val="2"/>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2</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Прийняття регуляторного акту</w:t>
            </w:r>
          </w:p>
        </w:tc>
        <w:tc>
          <w:tcPr>
            <w:tcW w:w="3255"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   - цілі прийняття регуляторного акту можуть бути досягнуті майже повною мірою (усі важливі аспекти проблеми існувати не будуть)</w:t>
            </w:r>
          </w:p>
        </w:tc>
        <w:tc>
          <w:tcPr>
            <w:tcW w:w="3375" w:type="dxa"/>
            <w:gridSpan w:val="2"/>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Буде забезпечено підвищення рівня контролю у сфері благоустрою громади, поліпшення умов захисту і відновлення сприятливого для життєдіяльності населення довкілля під час утримання об’єктів благоустрою, покращення інженерно-технічного і санітарного стану об’єктів благоустрою, їх естетичного вигляду</w:t>
            </w:r>
          </w:p>
        </w:tc>
      </w:tr>
      <w:tr w:rsidR="003F7C88" w:rsidRPr="005D3C65" w:rsidTr="003F7C88">
        <w:tc>
          <w:tcPr>
            <w:tcW w:w="226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Рейтинг результативності</w:t>
            </w:r>
          </w:p>
        </w:tc>
        <w:tc>
          <w:tcPr>
            <w:tcW w:w="270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Вигоди (підсумок)</w:t>
            </w:r>
          </w:p>
        </w:tc>
        <w:tc>
          <w:tcPr>
            <w:tcW w:w="252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(підсумок)</w:t>
            </w:r>
          </w:p>
        </w:tc>
        <w:tc>
          <w:tcPr>
            <w:tcW w:w="205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Обґрунтування відповідного місця альтернативи у рейтингу</w:t>
            </w:r>
          </w:p>
        </w:tc>
      </w:tr>
      <w:tr w:rsidR="003F7C88" w:rsidRPr="005D3C65" w:rsidTr="003F7C88">
        <w:tc>
          <w:tcPr>
            <w:tcW w:w="226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2</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Прийняття регуляторного акту</w:t>
            </w:r>
          </w:p>
        </w:tc>
        <w:tc>
          <w:tcPr>
            <w:tcW w:w="270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Держава: відповідальне ставлення юридичних та фізичних осіб до утримання та збереження елементів благоустрою; здійснення будь-якої </w:t>
            </w:r>
            <w:r w:rsidRPr="005D3C65">
              <w:rPr>
                <w:rFonts w:ascii="Times New Roman" w:eastAsia="Times New Roman" w:hAnsi="Times New Roman" w:cs="Times New Roman"/>
                <w:color w:val="000000"/>
                <w:sz w:val="28"/>
                <w:szCs w:val="28"/>
                <w:lang w:eastAsia="uk-UA"/>
              </w:rPr>
              <w:lastRenderedPageBreak/>
              <w:t>діяльності з одержанням санітарних та будівельних норм і правил; покращення санітарного стану; економія коштів місцевого бюджету за рахунок чіткого розподілу обов’язків у сфері благоустрою.</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Громадяни: упорядкування відносин між суб’єктами господарювання та громадянами у сфері благоустрою</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Суб’єкти господарювання: упорядкування відносин між суб’єктами господарювання та органами місцевого самоврядування у сфері благоустрою</w:t>
            </w:r>
          </w:p>
        </w:tc>
        <w:tc>
          <w:tcPr>
            <w:tcW w:w="252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Держава: витрати пов’язані з організацією контролю за дотриманням затверджених правил благоустрою</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Громадяни: витрати </w:t>
            </w:r>
            <w:r w:rsidRPr="005D3C65">
              <w:rPr>
                <w:rFonts w:ascii="Times New Roman" w:eastAsia="Times New Roman" w:hAnsi="Times New Roman" w:cs="Times New Roman"/>
                <w:color w:val="000000"/>
                <w:sz w:val="28"/>
                <w:szCs w:val="28"/>
                <w:lang w:eastAsia="uk-UA"/>
              </w:rPr>
              <w:lastRenderedPageBreak/>
              <w:t>на виконання обов’язків відповідно до затверджених правил благоустрою населеного пункту; витрати на сплату послуг за вивезення ТПВ з розрахунку на 1 людину в рік, які уклали договори.</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Суб’єкти господарювання:</w:t>
            </w:r>
          </w:p>
          <w:p w:rsidR="003F7C88" w:rsidRPr="005D3C65" w:rsidRDefault="003F7C88" w:rsidP="00841AD8">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 витрати на виконання обов’язків відповідно до затверджених правил благоустрою території населених пунктів </w:t>
            </w:r>
          </w:p>
        </w:tc>
        <w:tc>
          <w:tcPr>
            <w:tcW w:w="205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При виборі цієї альтернативи буде досягнуто цілі державного регулювання</w:t>
            </w:r>
          </w:p>
        </w:tc>
      </w:tr>
      <w:tr w:rsidR="003F7C88" w:rsidRPr="005D3C65" w:rsidTr="003F7C88">
        <w:tc>
          <w:tcPr>
            <w:tcW w:w="2265"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Альтернатива 1</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 прийняття регуляторного акту (залишення існуючої на даний момент ситуації без змін)</w:t>
            </w:r>
          </w:p>
        </w:tc>
        <w:tc>
          <w:tcPr>
            <w:tcW w:w="270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Держава: відсутні</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Громадяни:</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організація робіт та заходів із благоустрою частково з місцевого бюджету</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Суб’єкти господарювання:</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організація робіт та заходів із благоустрою частково з місцевого бюджету.</w:t>
            </w:r>
          </w:p>
        </w:tc>
        <w:tc>
          <w:tcPr>
            <w:tcW w:w="2520" w:type="dxa"/>
            <w:gridSpan w:val="2"/>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Держава:</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організація робіт та заходів із благоустрою території, а також відновлення об’єктів благоустрою за рахунок місцевого бюджету</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Громадяни:</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можливі витрати на покращення санітарного стану через брак коштів місцевого бюджету</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Суб’єкти господарювання:</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 можливі витрати на покращення санітарного стану через брак коштів місцевого бюджету.</w:t>
            </w:r>
          </w:p>
        </w:tc>
        <w:tc>
          <w:tcPr>
            <w:tcW w:w="205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780F4F">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 xml:space="preserve">У разі не прийняття даного акту </w:t>
            </w:r>
            <w:proofErr w:type="spellStart"/>
            <w:r w:rsidR="004B46F7" w:rsidRPr="005D3C65">
              <w:rPr>
                <w:rFonts w:ascii="Times New Roman" w:eastAsia="Times New Roman" w:hAnsi="Times New Roman" w:cs="Times New Roman"/>
                <w:color w:val="000000"/>
                <w:sz w:val="28"/>
                <w:szCs w:val="28"/>
                <w:lang w:eastAsia="uk-UA"/>
              </w:rPr>
              <w:t>Долинська</w:t>
            </w:r>
            <w:proofErr w:type="spellEnd"/>
            <w:r w:rsidR="004B46F7" w:rsidRPr="005D3C65">
              <w:rPr>
                <w:rFonts w:ascii="Times New Roman" w:eastAsia="Times New Roman" w:hAnsi="Times New Roman" w:cs="Times New Roman"/>
                <w:color w:val="000000"/>
                <w:sz w:val="28"/>
                <w:szCs w:val="28"/>
                <w:lang w:eastAsia="uk-UA"/>
              </w:rPr>
              <w:t xml:space="preserve"> міська </w:t>
            </w:r>
            <w:r w:rsidRPr="005D3C65">
              <w:rPr>
                <w:rFonts w:ascii="Times New Roman" w:eastAsia="Times New Roman" w:hAnsi="Times New Roman" w:cs="Times New Roman"/>
                <w:color w:val="000000"/>
                <w:sz w:val="28"/>
                <w:szCs w:val="28"/>
                <w:lang w:eastAsia="uk-UA"/>
              </w:rPr>
              <w:t xml:space="preserve"> рада не може </w:t>
            </w:r>
            <w:r w:rsidR="004B46F7" w:rsidRPr="005D3C65">
              <w:rPr>
                <w:rFonts w:ascii="Times New Roman" w:eastAsia="Times New Roman" w:hAnsi="Times New Roman" w:cs="Times New Roman"/>
                <w:color w:val="000000"/>
                <w:sz w:val="28"/>
                <w:szCs w:val="28"/>
                <w:lang w:eastAsia="uk-UA"/>
              </w:rPr>
              <w:t xml:space="preserve">в повній мірі </w:t>
            </w:r>
            <w:r w:rsidRPr="005D3C65">
              <w:rPr>
                <w:rFonts w:ascii="Times New Roman" w:eastAsia="Times New Roman" w:hAnsi="Times New Roman" w:cs="Times New Roman"/>
                <w:color w:val="000000"/>
                <w:sz w:val="28"/>
                <w:szCs w:val="28"/>
                <w:lang w:eastAsia="uk-UA"/>
              </w:rPr>
              <w:t>за допомогою сучасних важелів регулювати відносини у сфері благоустрою, забезпечувати охорону прав і законних інтересів громадян – жителів території  населених пунктів територіальної громади</w:t>
            </w:r>
          </w:p>
        </w:tc>
      </w:tr>
    </w:tbl>
    <w:p w:rsidR="003F7C88" w:rsidRPr="005D3C65" w:rsidRDefault="003F7C88" w:rsidP="00D3257B">
      <w:pPr>
        <w:numPr>
          <w:ilvl w:val="0"/>
          <w:numId w:val="4"/>
        </w:numPr>
        <w:shd w:val="clear" w:color="auto" w:fill="FFFFFF"/>
        <w:spacing w:after="0" w:line="240" w:lineRule="auto"/>
        <w:ind w:left="0"/>
        <w:jc w:val="both"/>
        <w:textAlignment w:val="baseline"/>
        <w:rPr>
          <w:rFonts w:ascii="Times New Roman" w:eastAsia="Times New Roman" w:hAnsi="Times New Roman" w:cs="Times New Roman"/>
          <w:vanish/>
          <w:color w:val="212529"/>
          <w:sz w:val="28"/>
          <w:szCs w:val="28"/>
          <w:lang w:eastAsia="uk-UA"/>
        </w:rPr>
      </w:pPr>
    </w:p>
    <w:tbl>
      <w:tblPr>
        <w:tblW w:w="10650" w:type="dxa"/>
        <w:tblCellMar>
          <w:left w:w="0" w:type="dxa"/>
          <w:right w:w="0" w:type="dxa"/>
        </w:tblCellMar>
        <w:tblLook w:val="04A0" w:firstRow="1" w:lastRow="0" w:firstColumn="1" w:lastColumn="0" w:noHBand="0" w:noVBand="1"/>
      </w:tblPr>
      <w:tblGrid>
        <w:gridCol w:w="2343"/>
        <w:gridCol w:w="3828"/>
        <w:gridCol w:w="4479"/>
      </w:tblGrid>
      <w:tr w:rsidR="003F7C88" w:rsidRPr="005D3C65" w:rsidTr="00780F4F">
        <w:tc>
          <w:tcPr>
            <w:tcW w:w="23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Рейтинг</w:t>
            </w:r>
          </w:p>
        </w:tc>
        <w:tc>
          <w:tcPr>
            <w:tcW w:w="382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Аргументи щодо переваги обраної альтернативи/ причини відмови від альтернативи</w:t>
            </w:r>
          </w:p>
        </w:tc>
        <w:tc>
          <w:tcPr>
            <w:tcW w:w="447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Оцінка ризику впливу зовнішніх чинників на дію запропонованого регуляторного акту</w:t>
            </w:r>
          </w:p>
        </w:tc>
      </w:tr>
      <w:tr w:rsidR="003F7C88" w:rsidRPr="005D3C65" w:rsidTr="00780F4F">
        <w:tc>
          <w:tcPr>
            <w:tcW w:w="23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2</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Прийняття регуляторного акту</w:t>
            </w:r>
          </w:p>
        </w:tc>
        <w:tc>
          <w:tcPr>
            <w:tcW w:w="382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Обрана</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Цілі прийняття проекту рішення будуть досягнути майже у повній мірі. Даними правилами буде чітко визначено права та обов’язки суб’єктів у сфері благоустрою, а також розмежовано відповідальність між суб’єктами</w:t>
            </w:r>
          </w:p>
        </w:tc>
        <w:tc>
          <w:tcPr>
            <w:tcW w:w="447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Зміна діючого законодавства, політична та економічна ситуація в країні</w:t>
            </w:r>
            <w:r w:rsidR="00EF0D7A" w:rsidRPr="005D3C65">
              <w:rPr>
                <w:rFonts w:ascii="Times New Roman" w:eastAsia="Times New Roman" w:hAnsi="Times New Roman" w:cs="Times New Roman"/>
                <w:color w:val="000000"/>
                <w:sz w:val="28"/>
                <w:szCs w:val="28"/>
                <w:lang w:eastAsia="uk-UA"/>
              </w:rPr>
              <w:t>.</w:t>
            </w:r>
          </w:p>
        </w:tc>
      </w:tr>
      <w:tr w:rsidR="003F7C88" w:rsidRPr="005D3C65" w:rsidTr="00780F4F">
        <w:tc>
          <w:tcPr>
            <w:tcW w:w="23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Альтернатива 1</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Неприйняття регуляторного акту (залишення існуючої на даний момент ситуації без змін)</w:t>
            </w:r>
          </w:p>
        </w:tc>
        <w:tc>
          <w:tcPr>
            <w:tcW w:w="3828"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Не обрана</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Не забезпечується досягнення цілей щодо регулювання прав та обов’язків суб’єктів у сфері благоустрою, норм та правил поведінки, що забезпечують утримання об’єктів та елементів благоустрою належним чином, за порушення яких можливо притягнути винних осіб до відповідальності.</w:t>
            </w:r>
          </w:p>
        </w:tc>
        <w:tc>
          <w:tcPr>
            <w:tcW w:w="4479"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Відсутні</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EF0D7A" w:rsidRPr="005D3C65" w:rsidRDefault="00EF0D7A"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EF0D7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V. Механізми та заходи, які забезпечать розв’язання визначеної проблеми</w:t>
      </w:r>
    </w:p>
    <w:p w:rsidR="00EF0D7A" w:rsidRPr="005D3C65" w:rsidRDefault="00EF0D7A" w:rsidP="00EF0D7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p>
    <w:p w:rsidR="003F7C88" w:rsidRPr="005D3C65" w:rsidRDefault="003F7C88" w:rsidP="00EF0D7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У разі прийняття регуляторного акту визначені цілі будуть досягнуті у повному обсязі за рахунок суворого дотримання суб’єктами господарювання всіх форм власності у сфері благоустрою території населених пунктів </w:t>
      </w:r>
      <w:proofErr w:type="spellStart"/>
      <w:r w:rsidR="003F2D06" w:rsidRPr="005D3C65">
        <w:rPr>
          <w:rFonts w:ascii="Times New Roman" w:eastAsia="Times New Roman" w:hAnsi="Times New Roman" w:cs="Times New Roman"/>
          <w:color w:val="000000"/>
          <w:sz w:val="28"/>
          <w:szCs w:val="28"/>
          <w:lang w:eastAsia="uk-UA"/>
        </w:rPr>
        <w:t>Долинської</w:t>
      </w:r>
      <w:proofErr w:type="spellEnd"/>
      <w:r w:rsidRPr="005D3C65">
        <w:rPr>
          <w:rFonts w:ascii="Times New Roman" w:eastAsia="Times New Roman" w:hAnsi="Times New Roman" w:cs="Times New Roman"/>
          <w:color w:val="000000"/>
          <w:sz w:val="28"/>
          <w:szCs w:val="28"/>
          <w:lang w:eastAsia="uk-UA"/>
        </w:rPr>
        <w:t xml:space="preserve"> територіальної громади його вимог.</w:t>
      </w:r>
    </w:p>
    <w:p w:rsidR="003F7C88" w:rsidRPr="005D3C65" w:rsidRDefault="003F7C88" w:rsidP="00EF0D7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Для впровадження цього регуляторного акту необхідно здійснити такі організаційні заходи, як інформування громадськості про вимоги регуляторного </w:t>
      </w:r>
      <w:r w:rsidRPr="005D3C65">
        <w:rPr>
          <w:rFonts w:ascii="Times New Roman" w:eastAsia="Times New Roman" w:hAnsi="Times New Roman" w:cs="Times New Roman"/>
          <w:color w:val="000000"/>
          <w:sz w:val="28"/>
          <w:szCs w:val="28"/>
          <w:lang w:eastAsia="uk-UA"/>
        </w:rPr>
        <w:lastRenderedPageBreak/>
        <w:t xml:space="preserve">акту шляхом оприлюднення його на офіційному сайті </w:t>
      </w:r>
      <w:proofErr w:type="spellStart"/>
      <w:r w:rsidR="003F2D06" w:rsidRPr="005D3C65">
        <w:rPr>
          <w:rFonts w:ascii="Times New Roman" w:eastAsia="Times New Roman" w:hAnsi="Times New Roman" w:cs="Times New Roman"/>
          <w:color w:val="000000"/>
          <w:sz w:val="28"/>
          <w:szCs w:val="28"/>
          <w:lang w:eastAsia="uk-UA"/>
        </w:rPr>
        <w:t>Долинської</w:t>
      </w:r>
      <w:proofErr w:type="spellEnd"/>
      <w:r w:rsidR="003F2D06"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міської ради з метою доведення до відома суті основних вимог положень регуляторного акту.</w:t>
      </w:r>
    </w:p>
    <w:p w:rsidR="003F7C88" w:rsidRPr="005D3C65" w:rsidRDefault="003F7C88" w:rsidP="00EF0D7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Організаційні заходи, які необхідно здійснити для впровадження регуляторного акту:</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поліпшення умов захисту і відновлення сприятливого для життєдіяльності людини довкілля під час утримання об’єктів благоустрою; покращення інженерно-технічного і санітарного стану об’єктів благоустрою;</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дії суб’єктів господарювання - підприємствам, установам та організаціям (балансоутримувачам), відповідальним за утримання об’єктів благоустрою, дотримуватися положень регуляторного акту;</w:t>
      </w:r>
    </w:p>
    <w:p w:rsidR="003F7C88" w:rsidRPr="005D3C65" w:rsidRDefault="003F7C88" w:rsidP="00D3257B">
      <w:pPr>
        <w:numPr>
          <w:ilvl w:val="1"/>
          <w:numId w:val="4"/>
        </w:numPr>
        <w:shd w:val="clear" w:color="auto" w:fill="FFFFFF"/>
        <w:spacing w:after="0" w:line="240" w:lineRule="auto"/>
        <w:ind w:left="0"/>
        <w:jc w:val="both"/>
        <w:textAlignment w:val="baseline"/>
        <w:rPr>
          <w:rFonts w:ascii="Times New Roman" w:eastAsia="Times New Roman" w:hAnsi="Times New Roman" w:cs="Times New Roman"/>
          <w:color w:val="212529"/>
          <w:sz w:val="28"/>
          <w:szCs w:val="28"/>
          <w:lang w:eastAsia="uk-UA"/>
        </w:rPr>
      </w:pPr>
      <w:r w:rsidRPr="005D3C65">
        <w:rPr>
          <w:rFonts w:ascii="Times New Roman" w:eastAsia="Times New Roman" w:hAnsi="Times New Roman" w:cs="Times New Roman"/>
          <w:color w:val="212529"/>
          <w:sz w:val="28"/>
          <w:szCs w:val="28"/>
          <w:lang w:eastAsia="uk-UA"/>
        </w:rPr>
        <w:t xml:space="preserve">- дії органів державної влади, органу місцевого самоврядування - затвердження Правил благоустрою території </w:t>
      </w:r>
      <w:proofErr w:type="spellStart"/>
      <w:r w:rsidR="003F2D06" w:rsidRPr="005D3C65">
        <w:rPr>
          <w:rFonts w:ascii="Times New Roman" w:eastAsia="Times New Roman" w:hAnsi="Times New Roman" w:cs="Times New Roman"/>
          <w:color w:val="212529"/>
          <w:sz w:val="28"/>
          <w:szCs w:val="28"/>
          <w:lang w:eastAsia="uk-UA"/>
        </w:rPr>
        <w:t>Долинської</w:t>
      </w:r>
      <w:proofErr w:type="spellEnd"/>
      <w:r w:rsidRPr="005D3C65">
        <w:rPr>
          <w:rFonts w:ascii="Times New Roman" w:eastAsia="Times New Roman" w:hAnsi="Times New Roman" w:cs="Times New Roman"/>
          <w:color w:val="212529"/>
          <w:sz w:val="28"/>
          <w:szCs w:val="28"/>
          <w:lang w:eastAsia="uk-UA"/>
        </w:rPr>
        <w:t xml:space="preserve"> територіальної громади, підвищення рівня контролю у сфері благоустрою міста та сільських населених пунктів (контроль щодо дотримання Правил благоустрою та </w:t>
      </w:r>
      <w:r w:rsidR="00037CCF" w:rsidRPr="005D3C65">
        <w:rPr>
          <w:rFonts w:ascii="Times New Roman" w:eastAsia="Times New Roman" w:hAnsi="Times New Roman" w:cs="Times New Roman"/>
          <w:color w:val="212529"/>
          <w:sz w:val="28"/>
          <w:szCs w:val="28"/>
          <w:lang w:eastAsia="uk-UA"/>
        </w:rPr>
        <w:t xml:space="preserve">притягнення до відповідальності </w:t>
      </w:r>
      <w:r w:rsidRPr="005D3C65">
        <w:rPr>
          <w:rFonts w:ascii="Times New Roman" w:eastAsia="Times New Roman" w:hAnsi="Times New Roman" w:cs="Times New Roman"/>
          <w:color w:val="212529"/>
          <w:sz w:val="28"/>
          <w:szCs w:val="28"/>
          <w:lang w:eastAsia="uk-UA"/>
        </w:rPr>
        <w:t>порушників відповідно до КУпАП).</w:t>
      </w:r>
    </w:p>
    <w:p w:rsidR="003F7C88" w:rsidRPr="005D3C65" w:rsidRDefault="003F7C88" w:rsidP="00D3257B">
      <w:pPr>
        <w:numPr>
          <w:ilvl w:val="1"/>
          <w:numId w:val="4"/>
        </w:numPr>
        <w:shd w:val="clear" w:color="auto" w:fill="FFFFFF"/>
        <w:spacing w:after="0" w:line="240" w:lineRule="auto"/>
        <w:ind w:left="0"/>
        <w:jc w:val="both"/>
        <w:textAlignment w:val="baseline"/>
        <w:rPr>
          <w:rFonts w:ascii="Times New Roman" w:eastAsia="Times New Roman" w:hAnsi="Times New Roman" w:cs="Times New Roman"/>
          <w:color w:val="212529"/>
          <w:sz w:val="28"/>
          <w:szCs w:val="28"/>
          <w:lang w:eastAsia="uk-UA"/>
        </w:rPr>
      </w:pPr>
    </w:p>
    <w:p w:rsidR="003F7C88" w:rsidRPr="005D3C65" w:rsidRDefault="003F7C88" w:rsidP="00037CCF">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F7C88" w:rsidRPr="005D3C65" w:rsidRDefault="003F7C88" w:rsidP="00BB3C0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Виконання вимог регуляторного акту залежно від ресурсів, якими розпоряджаються суб’єкти господарювання, які повинні впроваджувати або виконувати ці вимоги, оцінюються вище середнього. До аналізу регуляторного впливу розроблено М-тест (Тест малого підприємництва – Додаток 2</w:t>
      </w:r>
      <w:r w:rsidR="00236EF4" w:rsidRPr="005D3C65">
        <w:rPr>
          <w:rFonts w:ascii="Times New Roman" w:eastAsia="Times New Roman" w:hAnsi="Times New Roman" w:cs="Times New Roman"/>
          <w:color w:val="000000"/>
          <w:sz w:val="28"/>
          <w:szCs w:val="28"/>
          <w:lang w:eastAsia="uk-UA"/>
        </w:rPr>
        <w:t>)</w:t>
      </w:r>
      <w:r w:rsidRPr="005D3C65">
        <w:rPr>
          <w:rFonts w:ascii="Times New Roman" w:eastAsia="Times New Roman" w:hAnsi="Times New Roman" w:cs="Times New Roman"/>
          <w:color w:val="000000"/>
          <w:sz w:val="28"/>
          <w:szCs w:val="28"/>
          <w:lang w:eastAsia="uk-UA"/>
        </w:rPr>
        <w:t>.</w:t>
      </w:r>
    </w:p>
    <w:p w:rsidR="00BB3C06" w:rsidRPr="005D3C65" w:rsidRDefault="00BB3C06"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BB3C0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VII. Обґрунтування запропонованого строку дії регуляторного акту</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Початок впровадження регуляторного акту з дати його прийняття.</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Правила діятимуть </w:t>
      </w:r>
      <w:r w:rsidR="006F552A" w:rsidRPr="005D3C65">
        <w:rPr>
          <w:rFonts w:ascii="Times New Roman" w:eastAsia="Times New Roman" w:hAnsi="Times New Roman" w:cs="Times New Roman"/>
          <w:color w:val="000000"/>
          <w:sz w:val="28"/>
          <w:szCs w:val="28"/>
          <w:lang w:eastAsia="uk-UA"/>
        </w:rPr>
        <w:t>постійно</w:t>
      </w:r>
      <w:r w:rsidRPr="005D3C65">
        <w:rPr>
          <w:rFonts w:ascii="Times New Roman" w:eastAsia="Times New Roman" w:hAnsi="Times New Roman" w:cs="Times New Roman"/>
          <w:color w:val="000000"/>
          <w:sz w:val="28"/>
          <w:szCs w:val="28"/>
          <w:lang w:eastAsia="uk-UA"/>
        </w:rPr>
        <w:t>.</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У</w:t>
      </w:r>
      <w:r w:rsidRPr="005D3C65">
        <w:rPr>
          <w:rFonts w:ascii="Times New Roman" w:eastAsia="Times New Roman" w:hAnsi="Times New Roman" w:cs="Times New Roman"/>
          <w:b/>
          <w:bCs/>
          <w:color w:val="000000"/>
          <w:sz w:val="28"/>
          <w:szCs w:val="28"/>
          <w:bdr w:val="none" w:sz="0" w:space="0" w:color="auto" w:frame="1"/>
          <w:lang w:eastAsia="uk-UA"/>
        </w:rPr>
        <w:t> </w:t>
      </w:r>
      <w:r w:rsidRPr="005D3C65">
        <w:rPr>
          <w:rFonts w:ascii="Times New Roman" w:eastAsia="Times New Roman" w:hAnsi="Times New Roman" w:cs="Times New Roman"/>
          <w:color w:val="000000"/>
          <w:sz w:val="28"/>
          <w:szCs w:val="28"/>
          <w:lang w:eastAsia="uk-UA"/>
        </w:rPr>
        <w:t>разі виникнення змін до чинного законодавства, які можуть вплинути на дію запропонованого регуляторного акту, а також за підсумками відстеження його результативності, до діючих Правил будуть вноситись відповідні зміни.</w:t>
      </w:r>
    </w:p>
    <w:p w:rsidR="00332209" w:rsidRPr="005D3C65" w:rsidRDefault="00332209"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3322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VIII. Визначення показників результативності регуляторного акту</w:t>
      </w:r>
    </w:p>
    <w:tbl>
      <w:tblPr>
        <w:tblW w:w="10650" w:type="dxa"/>
        <w:tblCellMar>
          <w:left w:w="0" w:type="dxa"/>
          <w:right w:w="0" w:type="dxa"/>
        </w:tblCellMar>
        <w:tblLook w:val="04A0" w:firstRow="1" w:lastRow="0" w:firstColumn="1" w:lastColumn="0" w:noHBand="0" w:noVBand="1"/>
      </w:tblPr>
      <w:tblGrid>
        <w:gridCol w:w="609"/>
        <w:gridCol w:w="3837"/>
        <w:gridCol w:w="778"/>
        <w:gridCol w:w="1758"/>
        <w:gridCol w:w="1758"/>
        <w:gridCol w:w="1910"/>
      </w:tblGrid>
      <w:tr w:rsidR="003F7C88" w:rsidRPr="005D3C65" w:rsidTr="003F7C88">
        <w:tc>
          <w:tcPr>
            <w:tcW w:w="540" w:type="dxa"/>
            <w:vMerge w:val="restar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п/п</w:t>
            </w:r>
          </w:p>
        </w:tc>
        <w:tc>
          <w:tcPr>
            <w:tcW w:w="3405" w:type="dxa"/>
            <w:vMerge w:val="restar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Назва показника</w:t>
            </w:r>
          </w:p>
        </w:tc>
        <w:tc>
          <w:tcPr>
            <w:tcW w:w="690" w:type="dxa"/>
            <w:vMerge w:val="restar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Од. </w:t>
            </w:r>
            <w:proofErr w:type="spellStart"/>
            <w:r w:rsidRPr="005D3C65">
              <w:rPr>
                <w:rFonts w:ascii="Times New Roman" w:eastAsia="Times New Roman" w:hAnsi="Times New Roman" w:cs="Times New Roman"/>
                <w:color w:val="000000"/>
                <w:sz w:val="28"/>
                <w:szCs w:val="28"/>
                <w:lang w:eastAsia="uk-UA"/>
              </w:rPr>
              <w:t>вим</w:t>
            </w:r>
            <w:proofErr w:type="spellEnd"/>
            <w:r w:rsidRPr="005D3C65">
              <w:rPr>
                <w:rFonts w:ascii="Times New Roman" w:eastAsia="Times New Roman" w:hAnsi="Times New Roman" w:cs="Times New Roman"/>
                <w:color w:val="000000"/>
                <w:sz w:val="28"/>
                <w:szCs w:val="28"/>
                <w:lang w:eastAsia="uk-UA"/>
              </w:rPr>
              <w:t>.</w:t>
            </w:r>
          </w:p>
        </w:tc>
        <w:tc>
          <w:tcPr>
            <w:tcW w:w="4815" w:type="dxa"/>
            <w:gridSpan w:val="3"/>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Прогнозне значення показника</w:t>
            </w:r>
          </w:p>
        </w:tc>
      </w:tr>
      <w:tr w:rsidR="003F7C88" w:rsidRPr="005D3C65" w:rsidTr="003F7C88">
        <w:tc>
          <w:tcPr>
            <w:tcW w:w="0" w:type="auto"/>
            <w:vMerge/>
            <w:tcBorders>
              <w:top w:val="outset" w:sz="6" w:space="0" w:color="auto"/>
              <w:left w:val="nil"/>
              <w:bottom w:val="outset" w:sz="6" w:space="0" w:color="auto"/>
              <w:right w:val="outset" w:sz="6" w:space="0" w:color="auto"/>
            </w:tcBorders>
            <w:vAlign w:val="center"/>
            <w:hideMark/>
          </w:tcPr>
          <w:p w:rsidR="003F7C88" w:rsidRPr="005D3C65" w:rsidRDefault="003F7C88" w:rsidP="00D3257B">
            <w:pPr>
              <w:spacing w:after="0" w:line="240" w:lineRule="auto"/>
              <w:jc w:val="both"/>
              <w:rPr>
                <w:rFonts w:ascii="Times New Roman" w:eastAsia="Times New Roman" w:hAnsi="Times New Roman" w:cs="Times New Roman"/>
                <w:color w:val="000000"/>
                <w:sz w:val="28"/>
                <w:szCs w:val="28"/>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7C88" w:rsidRPr="005D3C65" w:rsidRDefault="003F7C88" w:rsidP="00D3257B">
            <w:pPr>
              <w:spacing w:after="0" w:line="240" w:lineRule="auto"/>
              <w:jc w:val="both"/>
              <w:rPr>
                <w:rFonts w:ascii="Times New Roman" w:eastAsia="Times New Roman" w:hAnsi="Times New Roman" w:cs="Times New Roman"/>
                <w:color w:val="000000"/>
                <w:sz w:val="28"/>
                <w:szCs w:val="28"/>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7C88" w:rsidRPr="005D3C65" w:rsidRDefault="003F7C88" w:rsidP="00D3257B">
            <w:pPr>
              <w:spacing w:after="0" w:line="240" w:lineRule="auto"/>
              <w:jc w:val="both"/>
              <w:rPr>
                <w:rFonts w:ascii="Times New Roman" w:eastAsia="Times New Roman" w:hAnsi="Times New Roman" w:cs="Times New Roman"/>
                <w:color w:val="000000"/>
                <w:sz w:val="28"/>
                <w:szCs w:val="28"/>
                <w:lang w:eastAsia="uk-UA"/>
              </w:rPr>
            </w:pPr>
          </w:p>
        </w:tc>
        <w:tc>
          <w:tcPr>
            <w:tcW w:w="156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0D102C">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202</w:t>
            </w:r>
            <w:r w:rsidR="000D102C">
              <w:rPr>
                <w:rFonts w:ascii="Times New Roman" w:eastAsia="Times New Roman" w:hAnsi="Times New Roman" w:cs="Times New Roman"/>
                <w:color w:val="000000"/>
                <w:sz w:val="28"/>
                <w:szCs w:val="28"/>
                <w:lang w:eastAsia="uk-UA"/>
              </w:rPr>
              <w:t>5</w:t>
            </w:r>
            <w:r w:rsidRPr="005D3C65">
              <w:rPr>
                <w:rFonts w:ascii="Times New Roman" w:eastAsia="Times New Roman" w:hAnsi="Times New Roman" w:cs="Times New Roman"/>
                <w:color w:val="000000"/>
                <w:sz w:val="28"/>
                <w:szCs w:val="28"/>
                <w:lang w:eastAsia="uk-UA"/>
              </w:rPr>
              <w:t xml:space="preserve"> рік</w:t>
            </w:r>
          </w:p>
        </w:tc>
        <w:tc>
          <w:tcPr>
            <w:tcW w:w="156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0D102C">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202</w:t>
            </w:r>
            <w:r w:rsidR="000D102C">
              <w:rPr>
                <w:rFonts w:ascii="Times New Roman" w:eastAsia="Times New Roman" w:hAnsi="Times New Roman" w:cs="Times New Roman"/>
                <w:color w:val="000000"/>
                <w:sz w:val="28"/>
                <w:szCs w:val="28"/>
                <w:lang w:eastAsia="uk-UA"/>
              </w:rPr>
              <w:t>6</w:t>
            </w:r>
            <w:r w:rsidRPr="005D3C65">
              <w:rPr>
                <w:rFonts w:ascii="Times New Roman" w:eastAsia="Times New Roman" w:hAnsi="Times New Roman" w:cs="Times New Roman"/>
                <w:color w:val="000000"/>
                <w:sz w:val="28"/>
                <w:szCs w:val="28"/>
                <w:lang w:eastAsia="uk-UA"/>
              </w:rPr>
              <w:t xml:space="preserve"> рік</w:t>
            </w:r>
          </w:p>
        </w:tc>
        <w:tc>
          <w:tcPr>
            <w:tcW w:w="169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0D102C">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202</w:t>
            </w:r>
            <w:r w:rsidR="000D102C">
              <w:rPr>
                <w:rFonts w:ascii="Times New Roman" w:eastAsia="Times New Roman" w:hAnsi="Times New Roman" w:cs="Times New Roman"/>
                <w:color w:val="000000"/>
                <w:sz w:val="28"/>
                <w:szCs w:val="28"/>
                <w:lang w:eastAsia="uk-UA"/>
              </w:rPr>
              <w:t>7</w:t>
            </w:r>
            <w:r w:rsidRPr="005D3C65">
              <w:rPr>
                <w:rFonts w:ascii="Times New Roman" w:eastAsia="Times New Roman" w:hAnsi="Times New Roman" w:cs="Times New Roman"/>
                <w:color w:val="000000"/>
                <w:sz w:val="28"/>
                <w:szCs w:val="28"/>
                <w:lang w:eastAsia="uk-UA"/>
              </w:rPr>
              <w:t xml:space="preserve"> рік</w:t>
            </w:r>
          </w:p>
        </w:tc>
      </w:tr>
      <w:tr w:rsidR="003F7C88" w:rsidRPr="005D3C65" w:rsidTr="003F7C88">
        <w:tc>
          <w:tcPr>
            <w:tcW w:w="54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p>
        </w:tc>
        <w:tc>
          <w:tcPr>
            <w:tcW w:w="340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Розмір надходжень до місцевого бюджету, пов’язаних з дією регуляторного акту</w:t>
            </w:r>
          </w:p>
        </w:tc>
        <w:tc>
          <w:tcPr>
            <w:tcW w:w="6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грн</w:t>
            </w:r>
          </w:p>
        </w:tc>
        <w:tc>
          <w:tcPr>
            <w:tcW w:w="4815" w:type="dxa"/>
            <w:gridSpan w:val="3"/>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можливі надходження від штрафів за вчинення адміністративних правопорушень в сфері благоустрою території населених пунктів об’єднаної територіальної громади</w:t>
            </w:r>
          </w:p>
        </w:tc>
      </w:tr>
      <w:tr w:rsidR="003F7C88" w:rsidRPr="005D3C65" w:rsidTr="003F7C88">
        <w:tc>
          <w:tcPr>
            <w:tcW w:w="54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p>
        </w:tc>
        <w:tc>
          <w:tcPr>
            <w:tcW w:w="340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Кількість суб’єктів господарювання, на  яких поширюватиметься дія акту</w:t>
            </w:r>
          </w:p>
        </w:tc>
        <w:tc>
          <w:tcPr>
            <w:tcW w:w="6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од.</w:t>
            </w:r>
          </w:p>
        </w:tc>
        <w:tc>
          <w:tcPr>
            <w:tcW w:w="156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ED5AD1" w:rsidP="00ED5AD1">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1651</w:t>
            </w:r>
          </w:p>
        </w:tc>
        <w:tc>
          <w:tcPr>
            <w:tcW w:w="156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ED5AD1" w:rsidP="00ED5AD1">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1651</w:t>
            </w:r>
          </w:p>
        </w:tc>
        <w:tc>
          <w:tcPr>
            <w:tcW w:w="169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ED5AD1">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r w:rsidR="00ED5AD1" w:rsidRPr="005D3C65">
              <w:rPr>
                <w:rFonts w:ascii="Times New Roman" w:eastAsia="Times New Roman" w:hAnsi="Times New Roman" w:cs="Times New Roman"/>
                <w:color w:val="000000"/>
                <w:sz w:val="28"/>
                <w:szCs w:val="28"/>
                <w:lang w:eastAsia="uk-UA"/>
              </w:rPr>
              <w:t>651</w:t>
            </w:r>
          </w:p>
        </w:tc>
      </w:tr>
      <w:tr w:rsidR="003F7C88" w:rsidRPr="005D3C65" w:rsidTr="003F7C88">
        <w:tc>
          <w:tcPr>
            <w:tcW w:w="54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3</w:t>
            </w:r>
          </w:p>
        </w:tc>
        <w:tc>
          <w:tcPr>
            <w:tcW w:w="340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Час, що витрачатиметься суб’єктами господарювання, пов’язаними з виконанням вимог акту (на ознайомлення з рішенням)</w:t>
            </w:r>
          </w:p>
        </w:tc>
        <w:tc>
          <w:tcPr>
            <w:tcW w:w="6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год.</w:t>
            </w:r>
          </w:p>
        </w:tc>
        <w:tc>
          <w:tcPr>
            <w:tcW w:w="156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p>
        </w:tc>
        <w:tc>
          <w:tcPr>
            <w:tcW w:w="156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AB2614" w:rsidP="00AB261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p>
        </w:tc>
        <w:tc>
          <w:tcPr>
            <w:tcW w:w="169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AB2614"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p>
        </w:tc>
      </w:tr>
      <w:tr w:rsidR="003F7C88" w:rsidRPr="005D3C65" w:rsidTr="003F7C88">
        <w:tc>
          <w:tcPr>
            <w:tcW w:w="54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p>
        </w:tc>
        <w:tc>
          <w:tcPr>
            <w:tcW w:w="340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Рівень поінформованості суб’єктів господарювання та/або фізичних осіб з основних положень акту</w:t>
            </w:r>
          </w:p>
        </w:tc>
        <w:tc>
          <w:tcPr>
            <w:tcW w:w="6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rPr>
                <w:rFonts w:ascii="Times New Roman" w:eastAsia="Times New Roman" w:hAnsi="Times New Roman" w:cs="Times New Roman"/>
                <w:color w:val="212529"/>
                <w:sz w:val="28"/>
                <w:szCs w:val="28"/>
                <w:lang w:eastAsia="uk-UA"/>
              </w:rPr>
            </w:pPr>
          </w:p>
        </w:tc>
        <w:tc>
          <w:tcPr>
            <w:tcW w:w="4815" w:type="dxa"/>
            <w:gridSpan w:val="3"/>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Високий. Оприлюднені повідомлення, проект рішення, АРВ: на офіційному сайті </w:t>
            </w:r>
            <w:proofErr w:type="spellStart"/>
            <w:r w:rsidR="003F2D06" w:rsidRPr="005D3C65">
              <w:rPr>
                <w:rFonts w:ascii="Times New Roman" w:eastAsia="Times New Roman" w:hAnsi="Times New Roman" w:cs="Times New Roman"/>
                <w:color w:val="000000"/>
                <w:sz w:val="28"/>
                <w:szCs w:val="28"/>
                <w:lang w:eastAsia="uk-UA"/>
              </w:rPr>
              <w:t>Долинсько</w:t>
            </w:r>
            <w:r w:rsidR="00FC6380" w:rsidRPr="005D3C65">
              <w:rPr>
                <w:rFonts w:ascii="Times New Roman" w:eastAsia="Times New Roman" w:hAnsi="Times New Roman" w:cs="Times New Roman"/>
                <w:color w:val="000000"/>
                <w:sz w:val="28"/>
                <w:szCs w:val="28"/>
                <w:lang w:eastAsia="uk-UA"/>
              </w:rPr>
              <w:t>ї</w:t>
            </w:r>
            <w:proofErr w:type="spellEnd"/>
            <w:r w:rsidR="00FC6380"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міської ради </w:t>
            </w:r>
            <w:r w:rsidR="003F2D06" w:rsidRPr="005D3C65">
              <w:rPr>
                <w:rFonts w:ascii="Times New Roman" w:eastAsia="Times New Roman" w:hAnsi="Times New Roman" w:cs="Times New Roman"/>
                <w:color w:val="000000"/>
                <w:sz w:val="28"/>
                <w:szCs w:val="28"/>
                <w:lang w:eastAsia="uk-UA"/>
              </w:rPr>
              <w:t xml:space="preserve"> </w:t>
            </w:r>
          </w:p>
        </w:tc>
      </w:tr>
      <w:tr w:rsidR="003F7C88" w:rsidRPr="005D3C65" w:rsidTr="003F7C88">
        <w:tc>
          <w:tcPr>
            <w:tcW w:w="54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5</w:t>
            </w:r>
          </w:p>
        </w:tc>
        <w:tc>
          <w:tcPr>
            <w:tcW w:w="340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Кількість звернень жителів населених пунктів</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територіальної громади щодо неналежного санітарного стану території міста, сіл та селищ територіальної громади</w:t>
            </w:r>
          </w:p>
        </w:tc>
        <w:tc>
          <w:tcPr>
            <w:tcW w:w="69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шт.</w:t>
            </w:r>
          </w:p>
        </w:tc>
        <w:tc>
          <w:tcPr>
            <w:tcW w:w="156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p>
        </w:tc>
        <w:tc>
          <w:tcPr>
            <w:tcW w:w="156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p>
        </w:tc>
        <w:tc>
          <w:tcPr>
            <w:tcW w:w="169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p>
        </w:tc>
      </w:tr>
    </w:tbl>
    <w:p w:rsidR="00652206" w:rsidRPr="005D3C65" w:rsidRDefault="00652206"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65220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IX. Визначення заходів, за допомогою яких здійснюватиметься відстеження результативності дії регуляторного акту</w:t>
      </w:r>
    </w:p>
    <w:p w:rsidR="00652206" w:rsidRPr="005D3C65" w:rsidRDefault="00652206"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3F7C88" w:rsidRPr="005D3C65" w:rsidRDefault="003F7C88" w:rsidP="008B5C0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Стосовно регуляторного акту виконавчим </w:t>
      </w:r>
      <w:r w:rsidR="008B5C00" w:rsidRPr="005D3C65">
        <w:rPr>
          <w:rFonts w:ascii="Times New Roman" w:eastAsia="Times New Roman" w:hAnsi="Times New Roman" w:cs="Times New Roman"/>
          <w:color w:val="000000"/>
          <w:sz w:val="28"/>
          <w:szCs w:val="28"/>
          <w:lang w:eastAsia="uk-UA"/>
        </w:rPr>
        <w:t xml:space="preserve">органом </w:t>
      </w:r>
      <w:r w:rsidRPr="005D3C65">
        <w:rPr>
          <w:rFonts w:ascii="Times New Roman" w:eastAsia="Times New Roman" w:hAnsi="Times New Roman" w:cs="Times New Roman"/>
          <w:color w:val="000000"/>
          <w:sz w:val="28"/>
          <w:szCs w:val="28"/>
          <w:lang w:eastAsia="uk-UA"/>
        </w:rPr>
        <w:t xml:space="preserve"> </w:t>
      </w:r>
      <w:proofErr w:type="spellStart"/>
      <w:r w:rsidR="003F2D06" w:rsidRPr="005D3C65">
        <w:rPr>
          <w:rFonts w:ascii="Times New Roman" w:eastAsia="Times New Roman" w:hAnsi="Times New Roman" w:cs="Times New Roman"/>
          <w:color w:val="000000"/>
          <w:sz w:val="28"/>
          <w:szCs w:val="28"/>
          <w:lang w:eastAsia="uk-UA"/>
        </w:rPr>
        <w:t>Долинської</w:t>
      </w:r>
      <w:proofErr w:type="spellEnd"/>
      <w:r w:rsidR="003F2D06"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міської ради буде здійснюватися базове, повторне та періодичне відстеження його результативності в строки, установлені статтею 10 Закону України «Про засади державної регуляторної політики у сфері господарської діяльності».</w:t>
      </w:r>
    </w:p>
    <w:p w:rsidR="003F7C88" w:rsidRPr="005D3C65" w:rsidRDefault="003F7C88" w:rsidP="0098733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Базове відстеження результативності регуляторного акту здійснюється до дня набрання чинності цим регуляторним актом.</w:t>
      </w:r>
    </w:p>
    <w:p w:rsidR="003F7C88" w:rsidRPr="005D3C65" w:rsidRDefault="003F7C88" w:rsidP="0098733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Повторне відстеження результативності регуляторного акту буде здійснено через один рік після набрання чинності.</w:t>
      </w:r>
    </w:p>
    <w:p w:rsidR="003F7C88" w:rsidRPr="005D3C65" w:rsidRDefault="003F7C88" w:rsidP="0098733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Періодичні відстеження результативності регуляторного акту здійснюватиметься раз на кожні три роки, починаючи з дня закінчення заходів з повторного відстеження результативності цього акту.</w:t>
      </w:r>
    </w:p>
    <w:p w:rsidR="003F7C88" w:rsidRPr="005D3C65" w:rsidRDefault="003F7C88" w:rsidP="0098733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Відстеження результативності дії регуляторного акту здійснюватиметься статистичним методом.</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r w:rsidR="0098733E" w:rsidRPr="005D3C65">
        <w:rPr>
          <w:rFonts w:ascii="Times New Roman" w:eastAsia="Times New Roman" w:hAnsi="Times New Roman" w:cs="Times New Roman"/>
          <w:b/>
          <w:bCs/>
          <w:color w:val="000000"/>
          <w:sz w:val="28"/>
          <w:szCs w:val="28"/>
          <w:bdr w:val="none" w:sz="0" w:space="0" w:color="auto" w:frame="1"/>
          <w:lang w:eastAsia="uk-UA"/>
        </w:rPr>
        <w:tab/>
      </w:r>
      <w:r w:rsidRPr="005D3C65">
        <w:rPr>
          <w:rFonts w:ascii="Times New Roman" w:eastAsia="Times New Roman" w:hAnsi="Times New Roman" w:cs="Times New Roman"/>
          <w:color w:val="000000"/>
          <w:sz w:val="28"/>
          <w:szCs w:val="28"/>
          <w:lang w:eastAsia="uk-UA"/>
        </w:rPr>
        <w:t xml:space="preserve">Зауваження і пропозиції від фізичних та юридичних осіб приймаються протягом місяця з дня оприлюднення проекту регуляторного, у письмовому вигляді за </w:t>
      </w:r>
      <w:proofErr w:type="spellStart"/>
      <w:r w:rsidRPr="005D3C65">
        <w:rPr>
          <w:rFonts w:ascii="Times New Roman" w:eastAsia="Times New Roman" w:hAnsi="Times New Roman" w:cs="Times New Roman"/>
          <w:color w:val="000000"/>
          <w:sz w:val="28"/>
          <w:szCs w:val="28"/>
          <w:lang w:eastAsia="uk-UA"/>
        </w:rPr>
        <w:t>адресою</w:t>
      </w:r>
      <w:proofErr w:type="spellEnd"/>
      <w:r w:rsidRPr="005D3C65">
        <w:rPr>
          <w:rFonts w:ascii="Times New Roman" w:eastAsia="Times New Roman" w:hAnsi="Times New Roman" w:cs="Times New Roman"/>
          <w:color w:val="000000"/>
          <w:sz w:val="28"/>
          <w:szCs w:val="28"/>
          <w:lang w:eastAsia="uk-UA"/>
        </w:rPr>
        <w:t xml:space="preserve"> міської ради: </w:t>
      </w:r>
      <w:r w:rsidR="001F128D" w:rsidRPr="005D3C65">
        <w:rPr>
          <w:rFonts w:ascii="Times New Roman" w:eastAsia="Times New Roman" w:hAnsi="Times New Roman" w:cs="Times New Roman"/>
          <w:color w:val="000000"/>
          <w:sz w:val="28"/>
          <w:szCs w:val="28"/>
          <w:lang w:eastAsia="uk-UA"/>
        </w:rPr>
        <w:t>77500</w:t>
      </w:r>
      <w:r w:rsidRPr="005D3C65">
        <w:rPr>
          <w:rFonts w:ascii="Times New Roman" w:eastAsia="Times New Roman" w:hAnsi="Times New Roman" w:cs="Times New Roman"/>
          <w:color w:val="000000"/>
          <w:sz w:val="28"/>
          <w:szCs w:val="28"/>
          <w:lang w:eastAsia="uk-UA"/>
        </w:rPr>
        <w:t xml:space="preserve">, </w:t>
      </w:r>
      <w:r w:rsidR="001F128D" w:rsidRPr="005D3C65">
        <w:rPr>
          <w:rFonts w:ascii="Times New Roman" w:eastAsia="Times New Roman" w:hAnsi="Times New Roman" w:cs="Times New Roman"/>
          <w:color w:val="000000"/>
          <w:sz w:val="28"/>
          <w:szCs w:val="28"/>
          <w:lang w:eastAsia="uk-UA"/>
        </w:rPr>
        <w:t>Івано-Франківська обл.</w:t>
      </w:r>
      <w:r w:rsidRPr="005D3C65">
        <w:rPr>
          <w:rFonts w:ascii="Times New Roman" w:eastAsia="Times New Roman" w:hAnsi="Times New Roman" w:cs="Times New Roman"/>
          <w:color w:val="000000"/>
          <w:sz w:val="28"/>
          <w:szCs w:val="28"/>
          <w:lang w:eastAsia="uk-UA"/>
        </w:rPr>
        <w:t xml:space="preserve">, </w:t>
      </w:r>
      <w:proofErr w:type="spellStart"/>
      <w:r w:rsidRPr="005D3C65">
        <w:rPr>
          <w:rFonts w:ascii="Times New Roman" w:eastAsia="Times New Roman" w:hAnsi="Times New Roman" w:cs="Times New Roman"/>
          <w:color w:val="000000"/>
          <w:sz w:val="28"/>
          <w:szCs w:val="28"/>
          <w:lang w:eastAsia="uk-UA"/>
        </w:rPr>
        <w:t>м.</w:t>
      </w:r>
      <w:r w:rsidR="001F128D" w:rsidRPr="005D3C65">
        <w:rPr>
          <w:rFonts w:ascii="Times New Roman" w:eastAsia="Times New Roman" w:hAnsi="Times New Roman" w:cs="Times New Roman"/>
          <w:color w:val="000000"/>
          <w:sz w:val="28"/>
          <w:szCs w:val="28"/>
          <w:lang w:eastAsia="uk-UA"/>
        </w:rPr>
        <w:t>Долина</w:t>
      </w:r>
      <w:proofErr w:type="spellEnd"/>
      <w:r w:rsidRPr="005D3C65">
        <w:rPr>
          <w:rFonts w:ascii="Times New Roman" w:eastAsia="Times New Roman" w:hAnsi="Times New Roman" w:cs="Times New Roman"/>
          <w:color w:val="000000"/>
          <w:sz w:val="28"/>
          <w:szCs w:val="28"/>
          <w:lang w:eastAsia="uk-UA"/>
        </w:rPr>
        <w:t xml:space="preserve">, </w:t>
      </w:r>
      <w:proofErr w:type="spellStart"/>
      <w:r w:rsidRPr="005D3C65">
        <w:rPr>
          <w:rFonts w:ascii="Times New Roman" w:eastAsia="Times New Roman" w:hAnsi="Times New Roman" w:cs="Times New Roman"/>
          <w:color w:val="000000"/>
          <w:sz w:val="28"/>
          <w:szCs w:val="28"/>
          <w:lang w:eastAsia="uk-UA"/>
        </w:rPr>
        <w:t>пр.</w:t>
      </w:r>
      <w:r w:rsidR="001F128D" w:rsidRPr="005D3C65">
        <w:rPr>
          <w:rFonts w:ascii="Times New Roman" w:eastAsia="Times New Roman" w:hAnsi="Times New Roman" w:cs="Times New Roman"/>
          <w:color w:val="000000"/>
          <w:sz w:val="28"/>
          <w:szCs w:val="28"/>
          <w:lang w:eastAsia="uk-UA"/>
        </w:rPr>
        <w:t>Незалежності</w:t>
      </w:r>
      <w:proofErr w:type="spellEnd"/>
      <w:r w:rsidR="001F128D" w:rsidRPr="005D3C65">
        <w:rPr>
          <w:rFonts w:ascii="Times New Roman" w:eastAsia="Times New Roman" w:hAnsi="Times New Roman" w:cs="Times New Roman"/>
          <w:color w:val="000000"/>
          <w:sz w:val="28"/>
          <w:szCs w:val="28"/>
          <w:lang w:eastAsia="uk-UA"/>
        </w:rPr>
        <w:t>, 5</w:t>
      </w:r>
      <w:r w:rsidRPr="005D3C65">
        <w:rPr>
          <w:rFonts w:ascii="Times New Roman" w:eastAsia="Times New Roman" w:hAnsi="Times New Roman" w:cs="Times New Roman"/>
          <w:color w:val="000000"/>
          <w:sz w:val="28"/>
          <w:szCs w:val="28"/>
          <w:lang w:eastAsia="uk-UA"/>
        </w:rPr>
        <w:t>.</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001A43" w:rsidRPr="005D3C65" w:rsidRDefault="00001A43" w:rsidP="00E52F9E">
      <w:pPr>
        <w:spacing w:after="0" w:line="240" w:lineRule="auto"/>
        <w:jc w:val="both"/>
        <w:rPr>
          <w:rFonts w:ascii="Times New Roman" w:eastAsia="SimSun" w:hAnsi="Times New Roman" w:cs="Times New Roman"/>
          <w:b/>
          <w:bCs/>
          <w:sz w:val="28"/>
          <w:szCs w:val="28"/>
          <w:lang w:eastAsia="zh-CN"/>
        </w:rPr>
      </w:pPr>
      <w:r w:rsidRPr="005D3C65">
        <w:rPr>
          <w:rFonts w:ascii="Times New Roman" w:eastAsia="SimSun" w:hAnsi="Times New Roman" w:cs="Times New Roman"/>
          <w:b/>
          <w:bCs/>
          <w:sz w:val="28"/>
          <w:szCs w:val="28"/>
          <w:lang w:eastAsia="zh-CN"/>
        </w:rPr>
        <w:t>Начальник управління благоустрою</w:t>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Pr="005D3C65">
        <w:rPr>
          <w:rFonts w:ascii="Times New Roman" w:eastAsia="SimSun" w:hAnsi="Times New Roman" w:cs="Times New Roman"/>
          <w:b/>
          <w:bCs/>
          <w:sz w:val="28"/>
          <w:szCs w:val="28"/>
          <w:lang w:eastAsia="zh-CN"/>
        </w:rPr>
        <w:t xml:space="preserve"> </w:t>
      </w:r>
    </w:p>
    <w:p w:rsidR="00006CFB" w:rsidRPr="005D3C65" w:rsidRDefault="00001A43" w:rsidP="00E52F9E">
      <w:pPr>
        <w:shd w:val="clear" w:color="auto" w:fill="FFFFFF"/>
        <w:spacing w:after="0" w:line="240" w:lineRule="auto"/>
        <w:jc w:val="both"/>
        <w:textAlignment w:val="baseline"/>
        <w:rPr>
          <w:rFonts w:ascii="Times New Roman" w:eastAsia="SimSun" w:hAnsi="Times New Roman" w:cs="Times New Roman"/>
          <w:b/>
          <w:bCs/>
          <w:sz w:val="28"/>
          <w:szCs w:val="28"/>
          <w:lang w:eastAsia="zh-CN"/>
        </w:rPr>
      </w:pPr>
      <w:r w:rsidRPr="005D3C65">
        <w:rPr>
          <w:rFonts w:ascii="Times New Roman" w:eastAsia="SimSun" w:hAnsi="Times New Roman" w:cs="Times New Roman"/>
          <w:b/>
          <w:bCs/>
          <w:sz w:val="28"/>
          <w:szCs w:val="28"/>
          <w:lang w:eastAsia="zh-CN"/>
        </w:rPr>
        <w:t xml:space="preserve">та інфраструктури </w:t>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p>
    <w:p w:rsidR="0098733E" w:rsidRPr="005D3C65" w:rsidRDefault="00001A43" w:rsidP="00E52F9E">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5D3C65">
        <w:rPr>
          <w:rFonts w:ascii="Times New Roman" w:eastAsia="SimSun" w:hAnsi="Times New Roman" w:cs="Times New Roman"/>
          <w:b/>
          <w:bCs/>
          <w:sz w:val="28"/>
          <w:szCs w:val="28"/>
          <w:lang w:eastAsia="zh-CN"/>
        </w:rPr>
        <w:t>Долинської</w:t>
      </w:r>
      <w:proofErr w:type="spellEnd"/>
      <w:r w:rsidRPr="005D3C65">
        <w:rPr>
          <w:rFonts w:ascii="Times New Roman" w:eastAsia="SimSun" w:hAnsi="Times New Roman" w:cs="Times New Roman"/>
          <w:b/>
          <w:bCs/>
          <w:sz w:val="28"/>
          <w:szCs w:val="28"/>
          <w:lang w:eastAsia="zh-CN"/>
        </w:rPr>
        <w:t xml:space="preserve"> міської ради</w:t>
      </w:r>
      <w:r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r>
      <w:r w:rsidR="00E52F9E" w:rsidRPr="005D3C65">
        <w:rPr>
          <w:rFonts w:ascii="Times New Roman" w:eastAsia="SimSun" w:hAnsi="Times New Roman" w:cs="Times New Roman"/>
          <w:b/>
          <w:bCs/>
          <w:sz w:val="28"/>
          <w:szCs w:val="28"/>
          <w:lang w:eastAsia="zh-CN"/>
        </w:rPr>
        <w:tab/>
        <w:t>В</w:t>
      </w:r>
      <w:r w:rsidR="00CE3596" w:rsidRPr="005D3C65">
        <w:rPr>
          <w:rFonts w:ascii="Times New Roman" w:eastAsia="SimSun" w:hAnsi="Times New Roman" w:cs="Times New Roman"/>
          <w:b/>
          <w:bCs/>
          <w:sz w:val="28"/>
          <w:szCs w:val="28"/>
          <w:lang w:eastAsia="zh-CN"/>
        </w:rPr>
        <w:t>італій</w:t>
      </w:r>
      <w:r w:rsidR="00E52F9E" w:rsidRPr="005D3C65">
        <w:rPr>
          <w:rFonts w:ascii="Times New Roman" w:eastAsia="SimSun" w:hAnsi="Times New Roman" w:cs="Times New Roman"/>
          <w:b/>
          <w:bCs/>
          <w:sz w:val="28"/>
          <w:szCs w:val="28"/>
          <w:lang w:eastAsia="zh-CN"/>
        </w:rPr>
        <w:t xml:space="preserve"> ЮСИП</w:t>
      </w:r>
      <w:r w:rsidR="003F7C88" w:rsidRPr="005D3C65">
        <w:rPr>
          <w:rFonts w:ascii="Times New Roman" w:eastAsia="Times New Roman" w:hAnsi="Times New Roman" w:cs="Times New Roman"/>
          <w:b/>
          <w:bCs/>
          <w:color w:val="000000"/>
          <w:sz w:val="28"/>
          <w:szCs w:val="28"/>
          <w:bdr w:val="none" w:sz="0" w:space="0" w:color="auto" w:frame="1"/>
          <w:lang w:eastAsia="uk-UA"/>
        </w:rPr>
        <w:t xml:space="preserve"> </w:t>
      </w:r>
    </w:p>
    <w:p w:rsidR="0098733E" w:rsidRPr="005D3C65" w:rsidRDefault="0098733E"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CE3596" w:rsidRPr="005D3C65" w:rsidRDefault="00CE3596"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98733E" w:rsidRPr="005D3C65" w:rsidRDefault="0098733E"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3F7C88" w:rsidRPr="005D3C65" w:rsidRDefault="003F7C88" w:rsidP="005936DE">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Додаток 1 до АРВ</w:t>
      </w:r>
    </w:p>
    <w:p w:rsidR="003F7C88" w:rsidRPr="005D3C65" w:rsidRDefault="003F7C88" w:rsidP="005936DE">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проекту рішення</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ВИТРАТИ</w:t>
      </w:r>
      <w:r w:rsidRPr="005D3C65">
        <w:rPr>
          <w:rFonts w:ascii="Times New Roman" w:eastAsia="Times New Roman" w:hAnsi="Times New Roman" w:cs="Times New Roman"/>
          <w:color w:val="000000"/>
          <w:sz w:val="28"/>
          <w:szCs w:val="28"/>
          <w:lang w:eastAsia="uk-UA"/>
        </w:rPr>
        <w:t> </w:t>
      </w:r>
      <w:r w:rsidRPr="005D3C65">
        <w:rPr>
          <w:rFonts w:ascii="Times New Roman" w:eastAsia="Times New Roman" w:hAnsi="Times New Roman" w:cs="Times New Roman"/>
          <w:b/>
          <w:bCs/>
          <w:color w:val="000000"/>
          <w:sz w:val="28"/>
          <w:szCs w:val="28"/>
          <w:bdr w:val="none" w:sz="0" w:space="0" w:color="auto" w:frame="1"/>
          <w:lang w:eastAsia="uk-UA"/>
        </w:rPr>
        <w:t>на одного суб’єкта господарювання великого і середнього підприємництва, які виникають внаслідок дії регуляторного акта</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i/>
          <w:iCs/>
          <w:color w:val="000000"/>
          <w:sz w:val="28"/>
          <w:szCs w:val="28"/>
          <w:bdr w:val="none" w:sz="0" w:space="0" w:color="auto" w:frame="1"/>
          <w:lang w:eastAsia="uk-UA"/>
        </w:rPr>
      </w:pPr>
      <w:r w:rsidRPr="005D3C65">
        <w:rPr>
          <w:rFonts w:ascii="Times New Roman" w:eastAsia="Times New Roman" w:hAnsi="Times New Roman" w:cs="Times New Roman"/>
          <w:i/>
          <w:iCs/>
          <w:color w:val="000000"/>
          <w:sz w:val="28"/>
          <w:szCs w:val="28"/>
          <w:bdr w:val="none" w:sz="0" w:space="0" w:color="auto" w:frame="1"/>
          <w:lang w:eastAsia="uk-UA"/>
        </w:rPr>
        <w:t>   </w:t>
      </w:r>
      <w:r w:rsidRPr="008738E4">
        <w:rPr>
          <w:rFonts w:ascii="Times New Roman" w:eastAsia="Times New Roman" w:hAnsi="Times New Roman" w:cs="Times New Roman"/>
          <w:color w:val="000000"/>
          <w:sz w:val="28"/>
          <w:szCs w:val="28"/>
          <w:lang w:eastAsia="uk-UA"/>
        </w:rPr>
        <w:t>*</w:t>
      </w:r>
      <w:r w:rsidRPr="008738E4">
        <w:rPr>
          <w:rFonts w:ascii="Times New Roman" w:eastAsia="Times New Roman" w:hAnsi="Times New Roman" w:cs="Times New Roman"/>
          <w:i/>
          <w:iCs/>
          <w:color w:val="000000"/>
          <w:sz w:val="24"/>
          <w:szCs w:val="24"/>
          <w:bdr w:val="none" w:sz="0" w:space="0" w:color="auto" w:frame="1"/>
          <w:lang w:eastAsia="uk-UA"/>
        </w:rPr>
        <w:t>Для розрахунку оцінки вартості адміністративних процедур щодо виконання регулювання та звітування береться розмір мінімальної заробітної плати, який встановлений Законом України «Про Державний бюджет України на 202</w:t>
      </w:r>
      <w:r w:rsidR="00D53703" w:rsidRPr="008738E4">
        <w:rPr>
          <w:rFonts w:ascii="Times New Roman" w:eastAsia="Times New Roman" w:hAnsi="Times New Roman" w:cs="Times New Roman"/>
          <w:i/>
          <w:iCs/>
          <w:color w:val="000000"/>
          <w:sz w:val="24"/>
          <w:szCs w:val="24"/>
          <w:bdr w:val="none" w:sz="0" w:space="0" w:color="auto" w:frame="1"/>
          <w:lang w:eastAsia="uk-UA"/>
        </w:rPr>
        <w:t>5</w:t>
      </w:r>
      <w:r w:rsidRPr="008738E4">
        <w:rPr>
          <w:rFonts w:ascii="Times New Roman" w:eastAsia="Times New Roman" w:hAnsi="Times New Roman" w:cs="Times New Roman"/>
          <w:i/>
          <w:iCs/>
          <w:color w:val="000000"/>
          <w:sz w:val="24"/>
          <w:szCs w:val="24"/>
          <w:bdr w:val="none" w:sz="0" w:space="0" w:color="auto" w:frame="1"/>
          <w:lang w:eastAsia="uk-UA"/>
        </w:rPr>
        <w:t xml:space="preserve"> рік» на 01.01.202</w:t>
      </w:r>
      <w:r w:rsidR="00173149" w:rsidRPr="008738E4">
        <w:rPr>
          <w:rFonts w:ascii="Times New Roman" w:eastAsia="Times New Roman" w:hAnsi="Times New Roman" w:cs="Times New Roman"/>
          <w:i/>
          <w:iCs/>
          <w:color w:val="000000"/>
          <w:sz w:val="24"/>
          <w:szCs w:val="24"/>
          <w:bdr w:val="none" w:sz="0" w:space="0" w:color="auto" w:frame="1"/>
          <w:lang w:eastAsia="uk-UA"/>
        </w:rPr>
        <w:t>5</w:t>
      </w:r>
      <w:r w:rsidRPr="008738E4">
        <w:rPr>
          <w:rFonts w:ascii="Times New Roman" w:eastAsia="Times New Roman" w:hAnsi="Times New Roman" w:cs="Times New Roman"/>
          <w:i/>
          <w:iCs/>
          <w:color w:val="000000"/>
          <w:sz w:val="24"/>
          <w:szCs w:val="24"/>
          <w:bdr w:val="none" w:sz="0" w:space="0" w:color="auto" w:frame="1"/>
          <w:lang w:eastAsia="uk-UA"/>
        </w:rPr>
        <w:t xml:space="preserve"> – </w:t>
      </w:r>
      <w:r w:rsidR="00D53703" w:rsidRPr="008738E4">
        <w:rPr>
          <w:rFonts w:ascii="Times New Roman" w:eastAsia="Times New Roman" w:hAnsi="Times New Roman" w:cs="Times New Roman"/>
          <w:i/>
          <w:iCs/>
          <w:color w:val="000000"/>
          <w:sz w:val="24"/>
          <w:szCs w:val="24"/>
          <w:bdr w:val="none" w:sz="0" w:space="0" w:color="auto" w:frame="1"/>
          <w:lang w:eastAsia="uk-UA"/>
        </w:rPr>
        <w:t>80</w:t>
      </w:r>
      <w:r w:rsidR="00975800" w:rsidRPr="008738E4">
        <w:rPr>
          <w:rFonts w:ascii="Times New Roman" w:eastAsia="Times New Roman" w:hAnsi="Times New Roman" w:cs="Times New Roman"/>
          <w:i/>
          <w:iCs/>
          <w:color w:val="000000"/>
          <w:sz w:val="24"/>
          <w:szCs w:val="24"/>
          <w:bdr w:val="none" w:sz="0" w:space="0" w:color="auto" w:frame="1"/>
          <w:lang w:eastAsia="uk-UA"/>
        </w:rPr>
        <w:t>00 грн.</w:t>
      </w:r>
      <w:r w:rsidR="00821A40" w:rsidRPr="008738E4">
        <w:rPr>
          <w:rFonts w:ascii="Times New Roman" w:eastAsia="SimSun" w:hAnsi="Times New Roman" w:cs="Times New Roman"/>
          <w:sz w:val="24"/>
          <w:szCs w:val="24"/>
          <w:lang w:eastAsia="zh-CN"/>
        </w:rPr>
        <w:t xml:space="preserve"> . </w:t>
      </w:r>
      <w:r w:rsidR="00821A40" w:rsidRPr="008738E4">
        <w:rPr>
          <w:rFonts w:ascii="Times New Roman" w:eastAsia="SimSun" w:hAnsi="Times New Roman" w:cs="Times New Roman"/>
          <w:b/>
          <w:bCs/>
          <w:sz w:val="24"/>
          <w:szCs w:val="24"/>
          <w:lang w:eastAsia="zh-CN"/>
        </w:rPr>
        <w:t>та у погодинному розмірі 4</w:t>
      </w:r>
      <w:r w:rsidR="00D53703" w:rsidRPr="008738E4">
        <w:rPr>
          <w:rFonts w:ascii="Times New Roman" w:eastAsia="SimSun" w:hAnsi="Times New Roman" w:cs="Times New Roman"/>
          <w:b/>
          <w:bCs/>
          <w:sz w:val="24"/>
          <w:szCs w:val="24"/>
          <w:lang w:eastAsia="zh-CN"/>
        </w:rPr>
        <w:t>8</w:t>
      </w:r>
      <w:r w:rsidR="0063268E" w:rsidRPr="008738E4">
        <w:rPr>
          <w:rFonts w:ascii="Times New Roman" w:eastAsia="SimSun" w:hAnsi="Times New Roman" w:cs="Times New Roman"/>
          <w:b/>
          <w:bCs/>
          <w:sz w:val="24"/>
          <w:szCs w:val="24"/>
          <w:lang w:eastAsia="zh-CN"/>
        </w:rPr>
        <w:t xml:space="preserve"> грн. </w:t>
      </w:r>
      <w:r w:rsidR="00821A40" w:rsidRPr="008738E4">
        <w:rPr>
          <w:rFonts w:ascii="Times New Roman" w:eastAsia="SimSun" w:hAnsi="Times New Roman" w:cs="Times New Roman"/>
          <w:sz w:val="24"/>
          <w:szCs w:val="24"/>
          <w:lang w:eastAsia="zh-CN"/>
        </w:rPr>
        <w:t>Норма робочого часу на 2024</w:t>
      </w:r>
      <w:r w:rsidR="00E65BA5" w:rsidRPr="008738E4">
        <w:rPr>
          <w:rFonts w:ascii="Times New Roman" w:eastAsia="SimSun" w:hAnsi="Times New Roman" w:cs="Times New Roman"/>
          <w:sz w:val="24"/>
          <w:szCs w:val="24"/>
          <w:lang w:eastAsia="zh-CN"/>
        </w:rPr>
        <w:t xml:space="preserve"> рік</w:t>
      </w:r>
      <w:r w:rsidR="00E65BA5" w:rsidRPr="008738E4">
        <w:rPr>
          <w:rFonts w:ascii="Times New Roman" w:hAnsi="Times New Roman" w:cs="Times New Roman"/>
          <w:color w:val="000000"/>
          <w:sz w:val="24"/>
          <w:szCs w:val="24"/>
          <w:shd w:val="clear" w:color="auto" w:fill="FFFFFF"/>
        </w:rPr>
        <w:t xml:space="preserve">  з урахуванням </w:t>
      </w:r>
      <w:r w:rsidR="00E65BA5" w:rsidRPr="008738E4">
        <w:rPr>
          <w:rFonts w:ascii="Times New Roman" w:hAnsi="Times New Roman" w:cs="Times New Roman"/>
          <w:sz w:val="24"/>
          <w:szCs w:val="24"/>
          <w:shd w:val="clear" w:color="auto" w:fill="FFFFFF"/>
        </w:rPr>
        <w:t xml:space="preserve">положень </w:t>
      </w:r>
      <w:hyperlink r:id="rId8" w:tgtFrame="_blank" w:history="1">
        <w:r w:rsidR="00E65BA5" w:rsidRPr="008738E4">
          <w:rPr>
            <w:rStyle w:val="a5"/>
            <w:rFonts w:ascii="Times New Roman" w:hAnsi="Times New Roman" w:cs="Times New Roman"/>
            <w:sz w:val="24"/>
            <w:szCs w:val="24"/>
            <w:bdr w:val="none" w:sz="0" w:space="0" w:color="auto" w:frame="1"/>
            <w:shd w:val="clear" w:color="auto" w:fill="FFFFFF"/>
          </w:rPr>
          <w:t>Закону України  «Про організацію трудових відносин в умовах воєнного стану» від 15.03.2022 № 2136</w:t>
        </w:r>
      </w:hyperlink>
      <w:r w:rsidR="00E65BA5" w:rsidRPr="008738E4">
        <w:rPr>
          <w:rFonts w:ascii="Times New Roman" w:hAnsi="Times New Roman" w:cs="Times New Roman"/>
          <w:color w:val="000000"/>
          <w:sz w:val="24"/>
          <w:szCs w:val="24"/>
          <w:shd w:val="clear" w:color="auto" w:fill="FFFFFF"/>
        </w:rPr>
        <w:t>, за умови, що воєнний стан триватиме протягом усього 202</w:t>
      </w:r>
      <w:r w:rsidR="007A4B67" w:rsidRPr="008738E4">
        <w:rPr>
          <w:rFonts w:ascii="Times New Roman" w:hAnsi="Times New Roman" w:cs="Times New Roman"/>
          <w:color w:val="000000"/>
          <w:sz w:val="24"/>
          <w:szCs w:val="24"/>
          <w:shd w:val="clear" w:color="auto" w:fill="FFFFFF"/>
        </w:rPr>
        <w:t>5</w:t>
      </w:r>
      <w:r w:rsidR="00E65BA5" w:rsidRPr="008738E4">
        <w:rPr>
          <w:rFonts w:ascii="Times New Roman" w:hAnsi="Times New Roman" w:cs="Times New Roman"/>
          <w:color w:val="000000"/>
          <w:sz w:val="24"/>
          <w:szCs w:val="24"/>
          <w:shd w:val="clear" w:color="auto" w:fill="FFFFFF"/>
        </w:rPr>
        <w:t xml:space="preserve"> року,</w:t>
      </w:r>
      <w:r w:rsidR="00E65BA5" w:rsidRPr="008738E4">
        <w:rPr>
          <w:rFonts w:ascii="Times New Roman" w:eastAsia="SimSun" w:hAnsi="Times New Roman" w:cs="Times New Roman"/>
          <w:sz w:val="24"/>
          <w:szCs w:val="24"/>
          <w:lang w:eastAsia="zh-CN"/>
        </w:rPr>
        <w:t xml:space="preserve"> становитиме при 40-годинному робочому тижні – 20</w:t>
      </w:r>
      <w:r w:rsidR="000A1454" w:rsidRPr="008738E4">
        <w:rPr>
          <w:rFonts w:ascii="Times New Roman" w:eastAsia="SimSun" w:hAnsi="Times New Roman" w:cs="Times New Roman"/>
          <w:sz w:val="24"/>
          <w:szCs w:val="24"/>
          <w:lang w:eastAsia="zh-CN"/>
        </w:rPr>
        <w:t>88</w:t>
      </w:r>
      <w:r w:rsidR="00E65BA5" w:rsidRPr="008738E4">
        <w:rPr>
          <w:rFonts w:ascii="Times New Roman" w:eastAsia="SimSun" w:hAnsi="Times New Roman" w:cs="Times New Roman"/>
          <w:sz w:val="24"/>
          <w:szCs w:val="24"/>
          <w:lang w:eastAsia="zh-CN"/>
        </w:rPr>
        <w:t xml:space="preserve"> годин</w:t>
      </w:r>
      <w:r w:rsidR="00E65BA5" w:rsidRPr="008738E4">
        <w:rPr>
          <w:rFonts w:ascii="Times New Roman" w:eastAsia="SimSun" w:hAnsi="Times New Roman" w:cs="Times New Roman"/>
          <w:sz w:val="28"/>
          <w:szCs w:val="28"/>
          <w:lang w:eastAsia="zh-CN"/>
        </w:rPr>
        <w:t>.</w:t>
      </w:r>
      <w:r w:rsidR="00E65BA5" w:rsidRPr="005D3C65">
        <w:rPr>
          <w:rFonts w:ascii="Times New Roman" w:eastAsia="SimSun" w:hAnsi="Times New Roman" w:cs="Times New Roman"/>
          <w:sz w:val="28"/>
          <w:szCs w:val="28"/>
          <w:lang w:eastAsia="zh-CN"/>
        </w:rPr>
        <w:t xml:space="preserve"> </w:t>
      </w:r>
    </w:p>
    <w:p w:rsidR="0063268E" w:rsidRPr="005D3C65" w:rsidRDefault="0063268E" w:rsidP="00D3257B">
      <w:pPr>
        <w:shd w:val="clear" w:color="auto" w:fill="FFFFFF"/>
        <w:spacing w:after="0" w:line="240" w:lineRule="auto"/>
        <w:jc w:val="both"/>
        <w:textAlignment w:val="baseline"/>
        <w:rPr>
          <w:rFonts w:ascii="Times New Roman" w:eastAsia="Times New Roman" w:hAnsi="Times New Roman" w:cs="Times New Roman"/>
          <w:b/>
          <w:bCs/>
          <w:i/>
          <w:iCs/>
          <w:color w:val="000000"/>
          <w:sz w:val="28"/>
          <w:szCs w:val="28"/>
          <w:bdr w:val="none" w:sz="0" w:space="0" w:color="auto" w:frame="1"/>
          <w:lang w:eastAsia="uk-UA"/>
        </w:rPr>
      </w:pP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i/>
          <w:iCs/>
          <w:color w:val="000000"/>
          <w:sz w:val="28"/>
          <w:szCs w:val="28"/>
          <w:bdr w:val="none" w:sz="0" w:space="0" w:color="auto" w:frame="1"/>
          <w:lang w:eastAsia="uk-UA"/>
        </w:rPr>
        <w:t>За альтернативою №1</w:t>
      </w:r>
    </w:p>
    <w:tbl>
      <w:tblPr>
        <w:tblW w:w="4900" w:type="pct"/>
        <w:jc w:val="center"/>
        <w:tblCellMar>
          <w:left w:w="0" w:type="dxa"/>
          <w:right w:w="0" w:type="dxa"/>
        </w:tblCellMar>
        <w:tblLook w:val="04A0" w:firstRow="1" w:lastRow="0" w:firstColumn="1" w:lastColumn="0" w:noHBand="0" w:noVBand="1"/>
      </w:tblPr>
      <w:tblGrid>
        <w:gridCol w:w="502"/>
        <w:gridCol w:w="7301"/>
        <w:gridCol w:w="2067"/>
      </w:tblGrid>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з/п</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Витрати</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У перший рік (стартовий рік впровадження регулювання)*</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Податки та збори (зміна розміру податків/зборів, виникнення необхідності у сплаті податків/зборів),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3</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пов’язані із веденням обліку, підготовкою та поданням звітності державним органам,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5</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6</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на оборотні активи (матеріали, канцелярські товари тощо),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7</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пов’язані із наймом додаткового персоналу,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8</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Інше (уточнити),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9</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РАЗОМ (сума рядків: 1 + 2 + 3 + 4 + 5 + 6 + 7 + 8),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10</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2C6481" w:rsidP="002C6481">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25</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11</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i/>
          <w:iCs/>
          <w:color w:val="000000"/>
          <w:sz w:val="28"/>
          <w:szCs w:val="28"/>
          <w:bdr w:val="none" w:sz="0" w:space="0" w:color="auto" w:frame="1"/>
          <w:lang w:eastAsia="uk-UA"/>
        </w:rPr>
        <w:t>За альтернативою №2</w:t>
      </w:r>
    </w:p>
    <w:tbl>
      <w:tblPr>
        <w:tblW w:w="4900" w:type="pct"/>
        <w:jc w:val="center"/>
        <w:tblCellMar>
          <w:left w:w="0" w:type="dxa"/>
          <w:right w:w="0" w:type="dxa"/>
        </w:tblCellMar>
        <w:tblLook w:val="04A0" w:firstRow="1" w:lastRow="0" w:firstColumn="1" w:lastColumn="0" w:noHBand="0" w:noVBand="1"/>
      </w:tblPr>
      <w:tblGrid>
        <w:gridCol w:w="502"/>
        <w:gridCol w:w="7301"/>
        <w:gridCol w:w="2067"/>
      </w:tblGrid>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з/п</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Витрати</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У перший рік (стартовий рік впровадження регулювання)*</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Податки та збори (зміна розміру податків/зборів, виникнення необхідності у сплаті податків/зборів),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3</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пов’язані із веденням обліку, підготовкою та поданням звітності державним органам,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5</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6</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Витрати на оборотні активи (обладнання для прибирання території на 1 одиницю прибиральника: мітла, відро, </w:t>
            </w:r>
            <w:r w:rsidRPr="005D3C65">
              <w:rPr>
                <w:rFonts w:ascii="Times New Roman" w:eastAsia="Times New Roman" w:hAnsi="Times New Roman" w:cs="Times New Roman"/>
                <w:color w:val="000000"/>
                <w:sz w:val="28"/>
                <w:szCs w:val="28"/>
                <w:lang w:eastAsia="uk-UA"/>
              </w:rPr>
              <w:lastRenderedPageBreak/>
              <w:t>рукавиці, граблі),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4A5CBD" w:rsidP="004A5CBD">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 xml:space="preserve">0 </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7</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Витрати, пов’язані із наймом додаткового персоналу, гривень</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i/>
                <w:iCs/>
                <w:color w:val="000000"/>
                <w:sz w:val="28"/>
                <w:szCs w:val="28"/>
                <w:bdr w:val="none" w:sz="0" w:space="0" w:color="auto" w:frame="1"/>
                <w:lang w:eastAsia="uk-UA"/>
              </w:rPr>
              <w:t>(Додаткових витрат не потребує, оскільки кожне велике та середнє підприємство має в своєму штаті відповідних працівників)</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8</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205E0">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Інше (</w:t>
            </w:r>
            <w:r w:rsidR="001B657A" w:rsidRPr="005D3C65">
              <w:rPr>
                <w:rFonts w:ascii="Times New Roman" w:eastAsia="Times New Roman" w:hAnsi="Times New Roman" w:cs="Times New Roman"/>
                <w:color w:val="000000"/>
                <w:sz w:val="28"/>
                <w:szCs w:val="28"/>
                <w:lang w:eastAsia="uk-UA"/>
              </w:rPr>
              <w:t>Процедури отримання первинної інформації про вимоги регулювання, грн. Формула: витрати часу на отримання інформації про регулювання Х вартість часу суб’єкта підприємництва (заробітна плата погодинна</w:t>
            </w:r>
            <w:r w:rsidRPr="005D3C65">
              <w:rPr>
                <w:rFonts w:ascii="Times New Roman" w:eastAsia="Times New Roman" w:hAnsi="Times New Roman" w:cs="Times New Roman"/>
                <w:color w:val="000000"/>
                <w:sz w:val="28"/>
                <w:szCs w:val="28"/>
                <w:lang w:eastAsia="uk-UA"/>
              </w:rPr>
              <w:t>),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D205E0" w:rsidP="000A1454">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r w:rsidR="000A1454">
              <w:rPr>
                <w:rFonts w:ascii="Times New Roman" w:eastAsia="Times New Roman" w:hAnsi="Times New Roman" w:cs="Times New Roman"/>
                <w:color w:val="000000"/>
                <w:sz w:val="28"/>
                <w:szCs w:val="28"/>
                <w:lang w:eastAsia="uk-UA"/>
              </w:rPr>
              <w:t>8</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9</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РАЗОМ (сума рядків: 1 + 2 + 3 + 4 + 5 + 6 + 7 + 8),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D205E0" w:rsidP="00FD07A1">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r w:rsidR="00FD07A1">
              <w:rPr>
                <w:rFonts w:ascii="Times New Roman" w:eastAsia="Times New Roman" w:hAnsi="Times New Roman" w:cs="Times New Roman"/>
                <w:color w:val="000000"/>
                <w:sz w:val="28"/>
                <w:szCs w:val="28"/>
                <w:lang w:eastAsia="uk-UA"/>
              </w:rPr>
              <w:t>8</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10</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2C6481">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r w:rsidR="002C6481" w:rsidRPr="005D3C65">
              <w:rPr>
                <w:rFonts w:ascii="Times New Roman" w:eastAsia="Times New Roman" w:hAnsi="Times New Roman" w:cs="Times New Roman"/>
                <w:color w:val="000000"/>
                <w:sz w:val="28"/>
                <w:szCs w:val="28"/>
                <w:lang w:eastAsia="uk-UA"/>
              </w:rPr>
              <w:t>5</w:t>
            </w:r>
          </w:p>
        </w:tc>
      </w:tr>
      <w:tr w:rsidR="003F7C88" w:rsidRPr="005D3C65" w:rsidTr="003F7C88">
        <w:trPr>
          <w:jc w:val="center"/>
        </w:trPr>
        <w:tc>
          <w:tcPr>
            <w:tcW w:w="250" w:type="pc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11</w:t>
            </w:r>
          </w:p>
        </w:tc>
        <w:tc>
          <w:tcPr>
            <w:tcW w:w="3900" w:type="pct"/>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50" w:type="pct"/>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C12475" w:rsidP="00FD07A1">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r w:rsidR="00FD07A1">
              <w:rPr>
                <w:rFonts w:ascii="Times New Roman" w:eastAsia="Times New Roman" w:hAnsi="Times New Roman" w:cs="Times New Roman"/>
                <w:color w:val="000000"/>
                <w:sz w:val="28"/>
                <w:szCs w:val="28"/>
                <w:lang w:eastAsia="uk-UA"/>
              </w:rPr>
              <w:t>200</w:t>
            </w:r>
          </w:p>
        </w:tc>
      </w:tr>
      <w:tr w:rsidR="003F7C88" w:rsidRPr="005D3C65" w:rsidTr="003F7C88">
        <w:tblPrEx>
          <w:jc w:val="right"/>
        </w:tblPrEx>
        <w:trPr>
          <w:jc w:val="right"/>
        </w:trPr>
        <w:tc>
          <w:tcPr>
            <w:tcW w:w="10125" w:type="dxa"/>
            <w:gridSpan w:val="3"/>
            <w:tcBorders>
              <w:left w:val="nil"/>
              <w:right w:val="nil"/>
            </w:tcBorders>
            <w:tcMar>
              <w:top w:w="225" w:type="dxa"/>
              <w:left w:w="75" w:type="dxa"/>
              <w:bottom w:w="225" w:type="dxa"/>
              <w:right w:w="75" w:type="dxa"/>
            </w:tcMar>
            <w:hideMark/>
          </w:tcPr>
          <w:p w:rsidR="003D752E" w:rsidRPr="005D3C65" w:rsidRDefault="003D752E" w:rsidP="00D3257B">
            <w:pPr>
              <w:spacing w:after="0" w:line="240" w:lineRule="auto"/>
              <w:jc w:val="both"/>
              <w:textAlignment w:val="baseline"/>
              <w:rPr>
                <w:rFonts w:ascii="Times New Roman" w:eastAsia="Times New Roman" w:hAnsi="Times New Roman" w:cs="Times New Roman"/>
                <w:color w:val="000000"/>
                <w:sz w:val="28"/>
                <w:szCs w:val="28"/>
                <w:lang w:eastAsia="uk-UA"/>
              </w:rPr>
            </w:pPr>
          </w:p>
          <w:p w:rsidR="003D752E" w:rsidRPr="005D3C65" w:rsidRDefault="003D752E" w:rsidP="00D3257B">
            <w:pPr>
              <w:spacing w:after="0" w:line="240" w:lineRule="auto"/>
              <w:jc w:val="both"/>
              <w:textAlignment w:val="baseline"/>
              <w:rPr>
                <w:rFonts w:ascii="Times New Roman" w:eastAsia="Times New Roman" w:hAnsi="Times New Roman" w:cs="Times New Roman"/>
                <w:color w:val="000000"/>
                <w:sz w:val="28"/>
                <w:szCs w:val="28"/>
                <w:lang w:eastAsia="uk-UA"/>
              </w:rPr>
            </w:pPr>
          </w:p>
          <w:p w:rsidR="003D752E" w:rsidRPr="005D3C65" w:rsidRDefault="003D752E" w:rsidP="00D3257B">
            <w:pPr>
              <w:spacing w:after="0" w:line="240" w:lineRule="auto"/>
              <w:jc w:val="both"/>
              <w:textAlignment w:val="baseline"/>
              <w:rPr>
                <w:rFonts w:ascii="Times New Roman" w:eastAsia="Times New Roman" w:hAnsi="Times New Roman" w:cs="Times New Roman"/>
                <w:color w:val="000000"/>
                <w:sz w:val="28"/>
                <w:szCs w:val="28"/>
                <w:lang w:eastAsia="uk-UA"/>
              </w:rPr>
            </w:pPr>
          </w:p>
          <w:p w:rsidR="003D752E" w:rsidRPr="005D3C65" w:rsidRDefault="003D752E" w:rsidP="00D3257B">
            <w:pPr>
              <w:spacing w:after="0" w:line="240" w:lineRule="auto"/>
              <w:jc w:val="both"/>
              <w:textAlignment w:val="baseline"/>
              <w:rPr>
                <w:rFonts w:ascii="Times New Roman" w:eastAsia="Times New Roman" w:hAnsi="Times New Roman" w:cs="Times New Roman"/>
                <w:color w:val="000000"/>
                <w:sz w:val="28"/>
                <w:szCs w:val="28"/>
                <w:lang w:eastAsia="uk-UA"/>
              </w:rPr>
            </w:pPr>
          </w:p>
          <w:p w:rsidR="003D752E" w:rsidRPr="005D3C65" w:rsidRDefault="003D752E" w:rsidP="00D3257B">
            <w:pPr>
              <w:spacing w:after="0" w:line="240" w:lineRule="auto"/>
              <w:jc w:val="both"/>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6309A" w:rsidRPr="005D3C65" w:rsidRDefault="0056309A" w:rsidP="005936DE">
            <w:pPr>
              <w:spacing w:after="0" w:line="240" w:lineRule="auto"/>
              <w:jc w:val="right"/>
              <w:textAlignment w:val="baseline"/>
              <w:rPr>
                <w:rFonts w:ascii="Times New Roman" w:eastAsia="Times New Roman" w:hAnsi="Times New Roman" w:cs="Times New Roman"/>
                <w:color w:val="000000"/>
                <w:sz w:val="28"/>
                <w:szCs w:val="28"/>
                <w:lang w:eastAsia="uk-UA"/>
              </w:rPr>
            </w:pPr>
          </w:p>
          <w:p w:rsidR="005936DE" w:rsidRPr="005D3C65" w:rsidRDefault="003F7C88" w:rsidP="005936DE">
            <w:pPr>
              <w:spacing w:after="0" w:line="240" w:lineRule="auto"/>
              <w:jc w:val="right"/>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Додаток 2 </w:t>
            </w:r>
          </w:p>
          <w:p w:rsidR="003F7C88" w:rsidRPr="005D3C65" w:rsidRDefault="003F7C88" w:rsidP="005936DE">
            <w:pPr>
              <w:spacing w:after="0" w:line="240" w:lineRule="auto"/>
              <w:jc w:val="right"/>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до Аналізу впливу регуляторного акту</w:t>
            </w:r>
          </w:p>
        </w:tc>
      </w:tr>
    </w:tbl>
    <w:p w:rsidR="003D752E" w:rsidRPr="005D3C65" w:rsidRDefault="003D752E" w:rsidP="00D3257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3F7C88" w:rsidRPr="005D3C65" w:rsidRDefault="003F7C88" w:rsidP="0056309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ТЕСТ </w:t>
      </w:r>
      <w:r w:rsidRPr="005D3C65">
        <w:rPr>
          <w:rFonts w:ascii="Times New Roman" w:eastAsia="Times New Roman" w:hAnsi="Times New Roman" w:cs="Times New Roman"/>
          <w:color w:val="000000"/>
          <w:sz w:val="28"/>
          <w:szCs w:val="28"/>
          <w:lang w:eastAsia="uk-UA"/>
        </w:rPr>
        <w:t> </w:t>
      </w:r>
      <w:r w:rsidRPr="005D3C65">
        <w:rPr>
          <w:rFonts w:ascii="Times New Roman" w:eastAsia="Times New Roman" w:hAnsi="Times New Roman" w:cs="Times New Roman"/>
          <w:b/>
          <w:bCs/>
          <w:color w:val="000000"/>
          <w:sz w:val="28"/>
          <w:szCs w:val="28"/>
          <w:bdr w:val="none" w:sz="0" w:space="0" w:color="auto" w:frame="1"/>
          <w:lang w:eastAsia="uk-UA"/>
        </w:rPr>
        <w:t>малого підприємництва (М-Тест)</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1. Консультації з представниками мікро- та малого підприємництва щодо оцінки впливу регулювання</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E10688" w:rsidRPr="005D3C65">
        <w:rPr>
          <w:rFonts w:ascii="Times New Roman" w:eastAsia="Times New Roman" w:hAnsi="Times New Roman" w:cs="Times New Roman"/>
          <w:color w:val="000000"/>
          <w:sz w:val="28"/>
          <w:szCs w:val="28"/>
          <w:lang w:eastAsia="uk-UA"/>
        </w:rPr>
        <w:t>01.02.</w:t>
      </w:r>
      <w:r w:rsidRPr="005D3C65">
        <w:rPr>
          <w:rFonts w:ascii="Times New Roman" w:eastAsia="Times New Roman" w:hAnsi="Times New Roman" w:cs="Times New Roman"/>
          <w:color w:val="000000"/>
          <w:sz w:val="28"/>
          <w:szCs w:val="28"/>
          <w:lang w:eastAsia="uk-UA"/>
        </w:rPr>
        <w:t>202</w:t>
      </w:r>
      <w:r w:rsidR="001A0592">
        <w:rPr>
          <w:rFonts w:ascii="Times New Roman" w:eastAsia="Times New Roman" w:hAnsi="Times New Roman" w:cs="Times New Roman"/>
          <w:color w:val="000000"/>
          <w:sz w:val="28"/>
          <w:szCs w:val="28"/>
          <w:lang w:eastAsia="uk-UA"/>
        </w:rPr>
        <w:t>4</w:t>
      </w:r>
      <w:r w:rsidRPr="005D3C65">
        <w:rPr>
          <w:rFonts w:ascii="Times New Roman" w:eastAsia="Times New Roman" w:hAnsi="Times New Roman" w:cs="Times New Roman"/>
          <w:color w:val="000000"/>
          <w:sz w:val="28"/>
          <w:szCs w:val="28"/>
          <w:lang w:eastAsia="uk-UA"/>
        </w:rPr>
        <w:t xml:space="preserve"> року по </w:t>
      </w:r>
      <w:r w:rsidR="001A0592">
        <w:rPr>
          <w:rFonts w:ascii="Times New Roman" w:eastAsia="Times New Roman" w:hAnsi="Times New Roman" w:cs="Times New Roman"/>
          <w:color w:val="000000"/>
          <w:sz w:val="28"/>
          <w:szCs w:val="28"/>
          <w:lang w:eastAsia="uk-UA"/>
        </w:rPr>
        <w:t>30</w:t>
      </w:r>
      <w:r w:rsidR="00E10688" w:rsidRPr="005D3C65">
        <w:rPr>
          <w:rFonts w:ascii="Times New Roman" w:eastAsia="Times New Roman" w:hAnsi="Times New Roman" w:cs="Times New Roman"/>
          <w:color w:val="000000"/>
          <w:sz w:val="28"/>
          <w:szCs w:val="28"/>
          <w:lang w:eastAsia="uk-UA"/>
        </w:rPr>
        <w:t>.</w:t>
      </w:r>
      <w:r w:rsidR="001A0592">
        <w:rPr>
          <w:rFonts w:ascii="Times New Roman" w:eastAsia="Times New Roman" w:hAnsi="Times New Roman" w:cs="Times New Roman"/>
          <w:color w:val="000000"/>
          <w:sz w:val="28"/>
          <w:szCs w:val="28"/>
          <w:lang w:eastAsia="uk-UA"/>
        </w:rPr>
        <w:t>11</w:t>
      </w:r>
      <w:r w:rsidR="00E10688" w:rsidRPr="005D3C65">
        <w:rPr>
          <w:rFonts w:ascii="Times New Roman" w:eastAsia="Times New Roman" w:hAnsi="Times New Roman" w:cs="Times New Roman"/>
          <w:color w:val="000000"/>
          <w:sz w:val="28"/>
          <w:szCs w:val="28"/>
          <w:lang w:eastAsia="uk-UA"/>
        </w:rPr>
        <w:t>.</w:t>
      </w:r>
      <w:r w:rsidRPr="005D3C65">
        <w:rPr>
          <w:rFonts w:ascii="Times New Roman" w:eastAsia="Times New Roman" w:hAnsi="Times New Roman" w:cs="Times New Roman"/>
          <w:color w:val="000000"/>
          <w:sz w:val="28"/>
          <w:szCs w:val="28"/>
          <w:lang w:eastAsia="uk-UA"/>
        </w:rPr>
        <w:t xml:space="preserve"> 202</w:t>
      </w:r>
      <w:r w:rsidR="005936DE" w:rsidRPr="005D3C65">
        <w:rPr>
          <w:rFonts w:ascii="Times New Roman" w:eastAsia="Times New Roman" w:hAnsi="Times New Roman" w:cs="Times New Roman"/>
          <w:color w:val="000000"/>
          <w:sz w:val="28"/>
          <w:szCs w:val="28"/>
          <w:lang w:eastAsia="uk-UA"/>
        </w:rPr>
        <w:t>4</w:t>
      </w:r>
      <w:r w:rsidRPr="005D3C65">
        <w:rPr>
          <w:rFonts w:ascii="Times New Roman" w:eastAsia="Times New Roman" w:hAnsi="Times New Roman" w:cs="Times New Roman"/>
          <w:color w:val="000000"/>
          <w:sz w:val="28"/>
          <w:szCs w:val="28"/>
          <w:lang w:eastAsia="uk-UA"/>
        </w:rPr>
        <w:t xml:space="preserve"> року.</w:t>
      </w:r>
    </w:p>
    <w:tbl>
      <w:tblPr>
        <w:tblW w:w="10650" w:type="dxa"/>
        <w:jc w:val="center"/>
        <w:tblCellMar>
          <w:left w:w="0" w:type="dxa"/>
          <w:right w:w="0" w:type="dxa"/>
        </w:tblCellMar>
        <w:tblLook w:val="04A0" w:firstRow="1" w:lastRow="0" w:firstColumn="1" w:lastColumn="0" w:noHBand="0" w:noVBand="1"/>
      </w:tblPr>
      <w:tblGrid>
        <w:gridCol w:w="568"/>
        <w:gridCol w:w="2306"/>
        <w:gridCol w:w="1938"/>
        <w:gridCol w:w="5838"/>
      </w:tblGrid>
      <w:tr w:rsidR="003F7C88" w:rsidRPr="005D3C65" w:rsidTr="003F7C88">
        <w:trPr>
          <w:jc w:val="center"/>
        </w:trPr>
        <w:tc>
          <w:tcPr>
            <w:tcW w:w="51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п/н</w:t>
            </w:r>
          </w:p>
        </w:tc>
        <w:tc>
          <w:tcPr>
            <w:tcW w:w="214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Вид консультації</w:t>
            </w:r>
          </w:p>
        </w:tc>
        <w:tc>
          <w:tcPr>
            <w:tcW w:w="147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Кількість учасників консультацій, осіб</w:t>
            </w:r>
          </w:p>
        </w:tc>
        <w:tc>
          <w:tcPr>
            <w:tcW w:w="543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Основні результати консультацій</w:t>
            </w:r>
          </w:p>
        </w:tc>
      </w:tr>
      <w:tr w:rsidR="003F7C88" w:rsidRPr="005D3C65" w:rsidTr="003F7C88">
        <w:trPr>
          <w:jc w:val="center"/>
        </w:trPr>
        <w:tc>
          <w:tcPr>
            <w:tcW w:w="51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p>
        </w:tc>
        <w:tc>
          <w:tcPr>
            <w:tcW w:w="214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Робоча зустрічі з представниками громадськості</w:t>
            </w:r>
          </w:p>
        </w:tc>
        <w:tc>
          <w:tcPr>
            <w:tcW w:w="147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E10688" w:rsidP="00E10688">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5</w:t>
            </w:r>
            <w:r w:rsidR="003F7C88" w:rsidRPr="005D3C65">
              <w:rPr>
                <w:rFonts w:ascii="Times New Roman" w:eastAsia="Times New Roman" w:hAnsi="Times New Roman" w:cs="Times New Roman"/>
                <w:color w:val="000000"/>
                <w:sz w:val="28"/>
                <w:szCs w:val="28"/>
                <w:lang w:eastAsia="uk-UA"/>
              </w:rPr>
              <w:t>0</w:t>
            </w:r>
          </w:p>
        </w:tc>
        <w:tc>
          <w:tcPr>
            <w:tcW w:w="543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Обговорено питання щодо організації комплексного вирішення проблем в сфері благоустрою населених пунктів </w:t>
            </w:r>
            <w:proofErr w:type="spellStart"/>
            <w:r w:rsidR="001F128D" w:rsidRPr="005D3C65">
              <w:rPr>
                <w:rFonts w:ascii="Times New Roman" w:eastAsia="Times New Roman" w:hAnsi="Times New Roman" w:cs="Times New Roman"/>
                <w:color w:val="000000"/>
                <w:sz w:val="28"/>
                <w:szCs w:val="28"/>
                <w:lang w:eastAsia="uk-UA"/>
              </w:rPr>
              <w:t>Долинської</w:t>
            </w:r>
            <w:proofErr w:type="spellEnd"/>
            <w:r w:rsidR="001F128D"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 xml:space="preserve"> територіальної громади. В результаті прийнято рішення щодо розроблення, прийняття та введення в дію єдиних на всій території громади Правил благоустрою </w:t>
            </w:r>
            <w:r w:rsidR="00507E32" w:rsidRPr="005D3C65">
              <w:rPr>
                <w:rFonts w:ascii="Times New Roman" w:eastAsia="Times New Roman" w:hAnsi="Times New Roman" w:cs="Times New Roman"/>
                <w:color w:val="000000"/>
                <w:sz w:val="28"/>
                <w:szCs w:val="28"/>
                <w:lang w:eastAsia="uk-UA"/>
              </w:rPr>
              <w:t xml:space="preserve">території </w:t>
            </w:r>
            <w:r w:rsidRPr="005D3C65">
              <w:rPr>
                <w:rFonts w:ascii="Times New Roman" w:eastAsia="Times New Roman" w:hAnsi="Times New Roman" w:cs="Times New Roman"/>
                <w:color w:val="000000"/>
                <w:sz w:val="28"/>
                <w:szCs w:val="28"/>
                <w:lang w:eastAsia="uk-UA"/>
              </w:rPr>
              <w:t xml:space="preserve"> </w:t>
            </w:r>
            <w:proofErr w:type="spellStart"/>
            <w:r w:rsidR="001F128D" w:rsidRPr="005D3C65">
              <w:rPr>
                <w:rFonts w:ascii="Times New Roman" w:eastAsia="Times New Roman" w:hAnsi="Times New Roman" w:cs="Times New Roman"/>
                <w:color w:val="000000"/>
                <w:sz w:val="28"/>
                <w:szCs w:val="28"/>
                <w:lang w:eastAsia="uk-UA"/>
              </w:rPr>
              <w:t>Долинської</w:t>
            </w:r>
            <w:proofErr w:type="spellEnd"/>
            <w:r w:rsidR="001F128D"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територіальної громади</w:t>
            </w:r>
          </w:p>
        </w:tc>
      </w:tr>
      <w:tr w:rsidR="003F7C88" w:rsidRPr="005D3C65" w:rsidTr="003F7C88">
        <w:trPr>
          <w:jc w:val="center"/>
        </w:trPr>
        <w:tc>
          <w:tcPr>
            <w:tcW w:w="510"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p>
        </w:tc>
        <w:tc>
          <w:tcPr>
            <w:tcW w:w="2145"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Телефонний запит до суб’єктів малого підприємництва</w:t>
            </w:r>
          </w:p>
        </w:tc>
        <w:tc>
          <w:tcPr>
            <w:tcW w:w="1470"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20</w:t>
            </w:r>
          </w:p>
        </w:tc>
        <w:tc>
          <w:tcPr>
            <w:tcW w:w="5430"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Обговорено питання щодо організації комплексного вирішення проблем в сфері благоустрою населених пунктів </w:t>
            </w:r>
            <w:proofErr w:type="spellStart"/>
            <w:r w:rsidR="001F128D" w:rsidRPr="005D3C65">
              <w:rPr>
                <w:rFonts w:ascii="Times New Roman" w:eastAsia="Times New Roman" w:hAnsi="Times New Roman" w:cs="Times New Roman"/>
                <w:color w:val="000000"/>
                <w:sz w:val="28"/>
                <w:szCs w:val="28"/>
                <w:lang w:eastAsia="uk-UA"/>
              </w:rPr>
              <w:t>Долинської</w:t>
            </w:r>
            <w:proofErr w:type="spellEnd"/>
            <w:r w:rsidR="001F128D"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 xml:space="preserve"> територіальної громади. В результаті прийнято рішення щодо невідкладного розроблення, прийняття та введення в дію єдиних на всій території громади Правил благоустрою </w:t>
            </w:r>
            <w:r w:rsidR="00507E32" w:rsidRPr="005D3C65">
              <w:rPr>
                <w:rFonts w:ascii="Times New Roman" w:eastAsia="Times New Roman" w:hAnsi="Times New Roman" w:cs="Times New Roman"/>
                <w:color w:val="000000"/>
                <w:sz w:val="28"/>
                <w:szCs w:val="28"/>
                <w:lang w:eastAsia="uk-UA"/>
              </w:rPr>
              <w:t xml:space="preserve">території </w:t>
            </w:r>
            <w:proofErr w:type="spellStart"/>
            <w:r w:rsidR="001F128D" w:rsidRPr="005D3C65">
              <w:rPr>
                <w:rFonts w:ascii="Times New Roman" w:eastAsia="Times New Roman" w:hAnsi="Times New Roman" w:cs="Times New Roman"/>
                <w:color w:val="000000"/>
                <w:sz w:val="28"/>
                <w:szCs w:val="28"/>
                <w:lang w:eastAsia="uk-UA"/>
              </w:rPr>
              <w:t>Долинської</w:t>
            </w:r>
            <w:proofErr w:type="spellEnd"/>
            <w:r w:rsidR="001F128D"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 xml:space="preserve"> територіальної громади</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2. Вимірювання впливу регулювання на суб’єктів малого підприємництва (мікро- та малі)</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Кількість суб’єктів малого підприємництва, на яких поширюється регулювання </w:t>
      </w:r>
      <w:r w:rsidR="006A155F" w:rsidRPr="005D3C65">
        <w:rPr>
          <w:rFonts w:ascii="Times New Roman" w:eastAsia="Times New Roman" w:hAnsi="Times New Roman" w:cs="Times New Roman"/>
          <w:color w:val="000000"/>
          <w:sz w:val="28"/>
          <w:szCs w:val="28"/>
          <w:lang w:eastAsia="uk-UA"/>
        </w:rPr>
        <w:t>1626</w:t>
      </w:r>
      <w:r w:rsidRPr="005D3C65">
        <w:rPr>
          <w:rFonts w:ascii="Times New Roman" w:eastAsia="Times New Roman" w:hAnsi="Times New Roman" w:cs="Times New Roman"/>
          <w:color w:val="000000"/>
          <w:sz w:val="28"/>
          <w:szCs w:val="28"/>
          <w:lang w:eastAsia="uk-UA"/>
        </w:rPr>
        <w:t xml:space="preserve"> (одиниць). Питома вага суб’єктів малого підприємництва у загальній кількості суб’єктів господарювання, на яких проблема справляє вплив 98,</w:t>
      </w:r>
      <w:r w:rsidR="00FB761E" w:rsidRPr="005D3C65">
        <w:rPr>
          <w:rFonts w:ascii="Times New Roman" w:eastAsia="Times New Roman" w:hAnsi="Times New Roman" w:cs="Times New Roman"/>
          <w:color w:val="000000"/>
          <w:sz w:val="28"/>
          <w:szCs w:val="28"/>
          <w:lang w:eastAsia="uk-UA"/>
        </w:rPr>
        <w:t>48</w:t>
      </w:r>
      <w:r w:rsidRPr="005D3C65">
        <w:rPr>
          <w:rFonts w:ascii="Times New Roman" w:eastAsia="Times New Roman" w:hAnsi="Times New Roman" w:cs="Times New Roman"/>
          <w:color w:val="000000"/>
          <w:sz w:val="28"/>
          <w:szCs w:val="28"/>
          <w:lang w:eastAsia="uk-UA"/>
        </w:rPr>
        <w:t>% (відсотків).</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3. Розрахунок витрат суб’єктів малого підприємництва на виконання вимог регулювання</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*Розрахунок витрат суб’єктів малого підприємництва здійснено за перший (стартовий) рік впровадження регулювання, адже застосовуються показники розміру мінімальної заробітної плати, в т.ч. в погодинному розмірі, та розміру </w:t>
      </w:r>
      <w:r w:rsidRPr="005D3C65">
        <w:rPr>
          <w:rFonts w:ascii="Times New Roman" w:eastAsia="Times New Roman" w:hAnsi="Times New Roman" w:cs="Times New Roman"/>
          <w:color w:val="000000"/>
          <w:sz w:val="28"/>
          <w:szCs w:val="28"/>
          <w:lang w:eastAsia="uk-UA"/>
        </w:rPr>
        <w:lastRenderedPageBreak/>
        <w:t>прожиткового мінімуму для працездатних осіб, що визначаються на законодавчому рівні.</w:t>
      </w:r>
    </w:p>
    <w:tbl>
      <w:tblPr>
        <w:tblW w:w="10650" w:type="dxa"/>
        <w:tblCellMar>
          <w:left w:w="0" w:type="dxa"/>
          <w:right w:w="0" w:type="dxa"/>
        </w:tblCellMar>
        <w:tblLook w:val="04A0" w:firstRow="1" w:lastRow="0" w:firstColumn="1" w:lastColumn="0" w:noHBand="0" w:noVBand="1"/>
      </w:tblPr>
      <w:tblGrid>
        <w:gridCol w:w="652"/>
        <w:gridCol w:w="3818"/>
        <w:gridCol w:w="3957"/>
        <w:gridCol w:w="2223"/>
      </w:tblGrid>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П/н</w:t>
            </w:r>
          </w:p>
        </w:tc>
        <w:tc>
          <w:tcPr>
            <w:tcW w:w="3818" w:type="dxa"/>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Найменування оцінки</w:t>
            </w:r>
          </w:p>
        </w:tc>
        <w:tc>
          <w:tcPr>
            <w:tcW w:w="6180" w:type="dxa"/>
            <w:gridSpan w:val="2"/>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У перший рік (стартовий рік впровадження регулювання)*</w:t>
            </w:r>
          </w:p>
        </w:tc>
      </w:tr>
      <w:tr w:rsidR="003F7C88" w:rsidRPr="005D3C65" w:rsidTr="00507E32">
        <w:tc>
          <w:tcPr>
            <w:tcW w:w="10650" w:type="dxa"/>
            <w:gridSpan w:val="4"/>
            <w:tcBorders>
              <w:left w:val="nil"/>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Оцінка «прямих» витрат суб’єктів малого підприємництва на виконання регулювання</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p>
        </w:tc>
        <w:tc>
          <w:tcPr>
            <w:tcW w:w="7775" w:type="dxa"/>
            <w:gridSpan w:val="2"/>
            <w:tcMar>
              <w:top w:w="225" w:type="dxa"/>
              <w:left w:w="75" w:type="dxa"/>
              <w:bottom w:w="225" w:type="dxa"/>
              <w:right w:w="75" w:type="dxa"/>
            </w:tcMar>
            <w:hideMark/>
          </w:tcPr>
          <w:p w:rsidR="003F7C88" w:rsidRPr="005D3C65" w:rsidRDefault="003F7C88" w:rsidP="009409A6">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Придбання необхідного обладнання (обладнання для прибирання території на 1 одиницю прибиральника: мітла, відро, рукавиці, граблі</w:t>
            </w:r>
            <w:r w:rsidR="00581922" w:rsidRPr="005D3C65">
              <w:rPr>
                <w:rFonts w:ascii="Times New Roman" w:eastAsia="Times New Roman" w:hAnsi="Times New Roman" w:cs="Times New Roman"/>
                <w:color w:val="000000"/>
                <w:sz w:val="28"/>
                <w:szCs w:val="28"/>
                <w:lang w:eastAsia="uk-UA"/>
              </w:rPr>
              <w:t xml:space="preserve">, </w:t>
            </w:r>
            <w:r w:rsidR="009409A6" w:rsidRPr="005D3C65">
              <w:rPr>
                <w:rFonts w:ascii="Times New Roman" w:eastAsia="Times New Roman" w:hAnsi="Times New Roman" w:cs="Times New Roman"/>
                <w:color w:val="000000"/>
                <w:sz w:val="28"/>
                <w:szCs w:val="28"/>
                <w:lang w:eastAsia="uk-UA"/>
              </w:rPr>
              <w:t>(</w:t>
            </w:r>
            <w:r w:rsidR="00BD4CEC" w:rsidRPr="005D3C65">
              <w:rPr>
                <w:rFonts w:ascii="Times New Roman" w:eastAsia="Times New Roman" w:hAnsi="Times New Roman" w:cs="Times New Roman"/>
                <w:color w:val="000000"/>
                <w:sz w:val="28"/>
                <w:szCs w:val="28"/>
                <w:lang w:eastAsia="uk-UA"/>
              </w:rPr>
              <w:t xml:space="preserve">обладнання наявне </w:t>
            </w:r>
            <w:r w:rsidR="009409A6" w:rsidRPr="005D3C65">
              <w:rPr>
                <w:rFonts w:ascii="Times New Roman" w:eastAsia="Times New Roman" w:hAnsi="Times New Roman" w:cs="Times New Roman"/>
                <w:color w:val="000000"/>
                <w:sz w:val="28"/>
                <w:szCs w:val="28"/>
                <w:lang w:eastAsia="uk-UA"/>
              </w:rPr>
              <w:t>в незалежності від прийняття правил)</w:t>
            </w:r>
            <w:r w:rsidRPr="005D3C65">
              <w:rPr>
                <w:rFonts w:ascii="Times New Roman" w:eastAsia="Times New Roman" w:hAnsi="Times New Roman" w:cs="Times New Roman"/>
                <w:color w:val="000000"/>
                <w:sz w:val="28"/>
                <w:szCs w:val="28"/>
                <w:lang w:eastAsia="uk-UA"/>
              </w:rPr>
              <w:t>, гривень</w:t>
            </w:r>
            <w:r w:rsidR="001444DA" w:rsidRPr="005D3C65">
              <w:rPr>
                <w:rFonts w:ascii="Times New Roman" w:eastAsia="Times New Roman" w:hAnsi="Times New Roman" w:cs="Times New Roman"/>
                <w:color w:val="000000"/>
                <w:sz w:val="28"/>
                <w:szCs w:val="28"/>
                <w:lang w:eastAsia="uk-UA"/>
              </w:rPr>
              <w:t xml:space="preserve"> </w:t>
            </w:r>
          </w:p>
        </w:tc>
        <w:tc>
          <w:tcPr>
            <w:tcW w:w="2223" w:type="dxa"/>
            <w:tcBorders>
              <w:right w:val="nil"/>
            </w:tcBorders>
            <w:tcMar>
              <w:top w:w="225" w:type="dxa"/>
              <w:left w:w="75" w:type="dxa"/>
              <w:bottom w:w="225" w:type="dxa"/>
              <w:right w:w="75" w:type="dxa"/>
            </w:tcMar>
            <w:hideMark/>
          </w:tcPr>
          <w:p w:rsidR="003F7C88" w:rsidRPr="005D3C65" w:rsidRDefault="00507E32"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3</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Процедури експлуатації обладнання (експлуатаційні витрати – витратні матеріали)</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Процедури обслуговування обладнання (технічне обслуговування)</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5</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Інші процедури:</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6</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Разом, гривень Формула: (сума рядків 1+2+3+4+5)</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7</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Кількість суб’єктів господарювання, що повинні виконати вимоги регулювання, одиниць:</w:t>
            </w:r>
          </w:p>
        </w:tc>
        <w:tc>
          <w:tcPr>
            <w:tcW w:w="2223" w:type="dxa"/>
            <w:tcBorders>
              <w:right w:val="nil"/>
            </w:tcBorders>
            <w:tcMar>
              <w:top w:w="225" w:type="dxa"/>
              <w:left w:w="75" w:type="dxa"/>
              <w:bottom w:w="225" w:type="dxa"/>
              <w:right w:w="75" w:type="dxa"/>
            </w:tcMar>
            <w:hideMark/>
          </w:tcPr>
          <w:p w:rsidR="003F7C88" w:rsidRPr="005D3C65" w:rsidRDefault="003F7C88" w:rsidP="00D9396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r w:rsidR="00D9396B" w:rsidRPr="005D3C65">
              <w:rPr>
                <w:rFonts w:ascii="Times New Roman" w:eastAsia="Times New Roman" w:hAnsi="Times New Roman" w:cs="Times New Roman"/>
                <w:color w:val="000000"/>
                <w:sz w:val="28"/>
                <w:szCs w:val="28"/>
                <w:lang w:eastAsia="uk-UA"/>
              </w:rPr>
              <w:t>626</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8</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Сумарно за рік, гривень</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p w:rsidR="003F7C88" w:rsidRPr="005D3C65" w:rsidRDefault="003F7C88" w:rsidP="00D9396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 х 1</w:t>
            </w:r>
            <w:r w:rsidR="00D9396B" w:rsidRPr="005D3C65">
              <w:rPr>
                <w:rFonts w:ascii="Times New Roman" w:eastAsia="Times New Roman" w:hAnsi="Times New Roman" w:cs="Times New Roman"/>
                <w:color w:val="000000"/>
                <w:sz w:val="28"/>
                <w:szCs w:val="28"/>
                <w:lang w:eastAsia="uk-UA"/>
              </w:rPr>
              <w:t>626</w:t>
            </w:r>
            <w:r w:rsidRPr="005D3C65">
              <w:rPr>
                <w:rFonts w:ascii="Times New Roman" w:eastAsia="Times New Roman" w:hAnsi="Times New Roman" w:cs="Times New Roman"/>
                <w:color w:val="000000"/>
                <w:sz w:val="28"/>
                <w:szCs w:val="28"/>
                <w:lang w:eastAsia="uk-UA"/>
              </w:rPr>
              <w:t>)</w:t>
            </w:r>
          </w:p>
        </w:tc>
      </w:tr>
      <w:tr w:rsidR="003F7C88" w:rsidRPr="005D3C65" w:rsidTr="00507E32">
        <w:tc>
          <w:tcPr>
            <w:tcW w:w="10650" w:type="dxa"/>
            <w:gridSpan w:val="4"/>
            <w:tcBorders>
              <w:left w:val="nil"/>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Оцінка вартості адміністративних процедур суб’єктів малого підприємництва </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щодо виконання регулювання та звітування.</w:t>
            </w:r>
          </w:p>
          <w:p w:rsidR="003F7C88" w:rsidRPr="005D3C65" w:rsidRDefault="009B613E" w:rsidP="00F82BFB">
            <w:pPr>
              <w:spacing w:after="0" w:line="240" w:lineRule="auto"/>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i/>
                <w:iCs/>
                <w:color w:val="000000"/>
                <w:sz w:val="24"/>
                <w:szCs w:val="24"/>
                <w:bdr w:val="none" w:sz="0" w:space="0" w:color="auto" w:frame="1"/>
                <w:lang w:eastAsia="uk-UA"/>
              </w:rPr>
              <w:t>Для розрахунку оцінки вартості адміністративних процедур береться розмір мінімальної заробітної плати, який встановлений Законом України «Про Державний бюджет України на 202</w:t>
            </w:r>
            <w:r w:rsidR="00C5312A">
              <w:rPr>
                <w:rFonts w:ascii="Times New Roman" w:eastAsia="Times New Roman" w:hAnsi="Times New Roman" w:cs="Times New Roman"/>
                <w:i/>
                <w:iCs/>
                <w:color w:val="000000"/>
                <w:sz w:val="24"/>
                <w:szCs w:val="24"/>
                <w:bdr w:val="none" w:sz="0" w:space="0" w:color="auto" w:frame="1"/>
                <w:lang w:eastAsia="uk-UA"/>
              </w:rPr>
              <w:t>5</w:t>
            </w:r>
            <w:r w:rsidRPr="005D3C65">
              <w:rPr>
                <w:rFonts w:ascii="Times New Roman" w:eastAsia="Times New Roman" w:hAnsi="Times New Roman" w:cs="Times New Roman"/>
                <w:i/>
                <w:iCs/>
                <w:color w:val="000000"/>
                <w:sz w:val="24"/>
                <w:szCs w:val="24"/>
                <w:bdr w:val="none" w:sz="0" w:space="0" w:color="auto" w:frame="1"/>
                <w:lang w:eastAsia="uk-UA"/>
              </w:rPr>
              <w:t xml:space="preserve"> рік» на 01.01.202</w:t>
            </w:r>
            <w:r w:rsidR="00C5312A">
              <w:rPr>
                <w:rFonts w:ascii="Times New Roman" w:eastAsia="Times New Roman" w:hAnsi="Times New Roman" w:cs="Times New Roman"/>
                <w:i/>
                <w:iCs/>
                <w:color w:val="000000"/>
                <w:sz w:val="24"/>
                <w:szCs w:val="24"/>
                <w:bdr w:val="none" w:sz="0" w:space="0" w:color="auto" w:frame="1"/>
                <w:lang w:eastAsia="uk-UA"/>
              </w:rPr>
              <w:t>5</w:t>
            </w:r>
            <w:r w:rsidRPr="005D3C65">
              <w:rPr>
                <w:rFonts w:ascii="Times New Roman" w:eastAsia="Times New Roman" w:hAnsi="Times New Roman" w:cs="Times New Roman"/>
                <w:i/>
                <w:iCs/>
                <w:color w:val="000000"/>
                <w:sz w:val="24"/>
                <w:szCs w:val="24"/>
                <w:bdr w:val="none" w:sz="0" w:space="0" w:color="auto" w:frame="1"/>
                <w:lang w:eastAsia="uk-UA"/>
              </w:rPr>
              <w:t xml:space="preserve"> – </w:t>
            </w:r>
            <w:r w:rsidR="00C5312A">
              <w:rPr>
                <w:rFonts w:ascii="Times New Roman" w:eastAsia="Times New Roman" w:hAnsi="Times New Roman" w:cs="Times New Roman"/>
                <w:i/>
                <w:iCs/>
                <w:color w:val="000000"/>
                <w:sz w:val="24"/>
                <w:szCs w:val="24"/>
                <w:bdr w:val="none" w:sz="0" w:space="0" w:color="auto" w:frame="1"/>
                <w:lang w:eastAsia="uk-UA"/>
              </w:rPr>
              <w:t>800</w:t>
            </w:r>
            <w:r w:rsidRPr="005D3C65">
              <w:rPr>
                <w:rFonts w:ascii="Times New Roman" w:eastAsia="Times New Roman" w:hAnsi="Times New Roman" w:cs="Times New Roman"/>
                <w:i/>
                <w:iCs/>
                <w:color w:val="000000"/>
                <w:sz w:val="24"/>
                <w:szCs w:val="24"/>
                <w:bdr w:val="none" w:sz="0" w:space="0" w:color="auto" w:frame="1"/>
                <w:lang w:eastAsia="uk-UA"/>
              </w:rPr>
              <w:t>0 грн.</w:t>
            </w:r>
            <w:r w:rsidRPr="005D3C65">
              <w:rPr>
                <w:rFonts w:ascii="Times New Roman" w:eastAsia="SimSun" w:hAnsi="Times New Roman" w:cs="Times New Roman"/>
                <w:sz w:val="24"/>
                <w:szCs w:val="24"/>
                <w:lang w:eastAsia="zh-CN"/>
              </w:rPr>
              <w:t xml:space="preserve"> . </w:t>
            </w:r>
            <w:r w:rsidRPr="005D3C65">
              <w:rPr>
                <w:rFonts w:ascii="Times New Roman" w:eastAsia="SimSun" w:hAnsi="Times New Roman" w:cs="Times New Roman"/>
                <w:b/>
                <w:bCs/>
                <w:sz w:val="24"/>
                <w:szCs w:val="24"/>
                <w:lang w:eastAsia="zh-CN"/>
              </w:rPr>
              <w:t>та у погодинному розмірі 4</w:t>
            </w:r>
            <w:r w:rsidR="00C5312A">
              <w:rPr>
                <w:rFonts w:ascii="Times New Roman" w:eastAsia="SimSun" w:hAnsi="Times New Roman" w:cs="Times New Roman"/>
                <w:b/>
                <w:bCs/>
                <w:sz w:val="24"/>
                <w:szCs w:val="24"/>
                <w:lang w:eastAsia="zh-CN"/>
              </w:rPr>
              <w:t>8</w:t>
            </w:r>
            <w:r w:rsidRPr="005D3C65">
              <w:rPr>
                <w:rFonts w:ascii="Times New Roman" w:eastAsia="SimSun" w:hAnsi="Times New Roman" w:cs="Times New Roman"/>
                <w:b/>
                <w:bCs/>
                <w:sz w:val="24"/>
                <w:szCs w:val="24"/>
                <w:lang w:eastAsia="zh-CN"/>
              </w:rPr>
              <w:t xml:space="preserve"> грн. </w:t>
            </w:r>
            <w:r w:rsidRPr="005D3C65">
              <w:rPr>
                <w:rFonts w:ascii="Times New Roman" w:eastAsia="SimSun" w:hAnsi="Times New Roman" w:cs="Times New Roman"/>
                <w:sz w:val="24"/>
                <w:szCs w:val="24"/>
                <w:lang w:eastAsia="zh-CN"/>
              </w:rPr>
              <w:t>Норма робочого часу на 2024 рік</w:t>
            </w:r>
            <w:r w:rsidRPr="005D3C65">
              <w:rPr>
                <w:rFonts w:ascii="Times New Roman" w:hAnsi="Times New Roman" w:cs="Times New Roman"/>
                <w:color w:val="000000"/>
                <w:sz w:val="24"/>
                <w:szCs w:val="24"/>
                <w:shd w:val="clear" w:color="auto" w:fill="FFFFFF"/>
              </w:rPr>
              <w:t xml:space="preserve">  з урахуванням </w:t>
            </w:r>
            <w:r w:rsidRPr="005D3C65">
              <w:rPr>
                <w:rFonts w:ascii="Times New Roman" w:hAnsi="Times New Roman" w:cs="Times New Roman"/>
                <w:sz w:val="24"/>
                <w:szCs w:val="24"/>
                <w:shd w:val="clear" w:color="auto" w:fill="FFFFFF"/>
              </w:rPr>
              <w:t xml:space="preserve">положень </w:t>
            </w:r>
            <w:hyperlink r:id="rId9" w:tgtFrame="_blank" w:history="1">
              <w:r w:rsidRPr="005D3C65">
                <w:rPr>
                  <w:rStyle w:val="a5"/>
                  <w:rFonts w:ascii="Times New Roman" w:hAnsi="Times New Roman" w:cs="Times New Roman"/>
                  <w:sz w:val="24"/>
                  <w:szCs w:val="24"/>
                  <w:bdr w:val="none" w:sz="0" w:space="0" w:color="auto" w:frame="1"/>
                  <w:shd w:val="clear" w:color="auto" w:fill="FFFFFF"/>
                </w:rPr>
                <w:t>Закону України  «Про організацію трудових відносин в умовах воєнного стану» від 15.03.2022 № 2136</w:t>
              </w:r>
            </w:hyperlink>
            <w:r w:rsidRPr="005D3C65">
              <w:rPr>
                <w:rFonts w:ascii="Times New Roman" w:hAnsi="Times New Roman" w:cs="Times New Roman"/>
                <w:color w:val="000000"/>
                <w:sz w:val="24"/>
                <w:szCs w:val="24"/>
                <w:shd w:val="clear" w:color="auto" w:fill="FFFFFF"/>
              </w:rPr>
              <w:t>, за умови, що воєнний стан триватиме протягом усього 2024 року,</w:t>
            </w:r>
            <w:r w:rsidRPr="005D3C65">
              <w:rPr>
                <w:rFonts w:ascii="Times New Roman" w:eastAsia="SimSun" w:hAnsi="Times New Roman" w:cs="Times New Roman"/>
                <w:sz w:val="24"/>
                <w:szCs w:val="24"/>
                <w:lang w:eastAsia="zh-CN"/>
              </w:rPr>
              <w:t xml:space="preserve"> становитиме при 40-годинному робочому тижні – 20</w:t>
            </w:r>
            <w:r w:rsidR="00F82BFB">
              <w:rPr>
                <w:rFonts w:ascii="Times New Roman" w:eastAsia="SimSun" w:hAnsi="Times New Roman" w:cs="Times New Roman"/>
                <w:sz w:val="24"/>
                <w:szCs w:val="24"/>
                <w:lang w:eastAsia="zh-CN"/>
              </w:rPr>
              <w:t>88</w:t>
            </w:r>
            <w:r w:rsidRPr="005D3C65">
              <w:rPr>
                <w:rFonts w:ascii="Times New Roman" w:eastAsia="SimSun" w:hAnsi="Times New Roman" w:cs="Times New Roman"/>
                <w:sz w:val="24"/>
                <w:szCs w:val="24"/>
                <w:lang w:eastAsia="zh-CN"/>
              </w:rPr>
              <w:t xml:space="preserve"> годин</w:t>
            </w:r>
            <w:r w:rsidR="003F7C88" w:rsidRPr="005D3C65">
              <w:rPr>
                <w:rFonts w:ascii="Times New Roman" w:eastAsia="Times New Roman" w:hAnsi="Times New Roman" w:cs="Times New Roman"/>
                <w:i/>
                <w:iCs/>
                <w:color w:val="000000"/>
                <w:sz w:val="28"/>
                <w:szCs w:val="28"/>
                <w:bdr w:val="none" w:sz="0" w:space="0" w:color="auto" w:frame="1"/>
                <w:lang w:eastAsia="uk-UA"/>
              </w:rPr>
              <w:t xml:space="preserve"> </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9</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Процедури отримання первинної інформації про вимоги регулювання, грн.</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Формула: витрати часу на отримання інформації про регулювання Х вартість часу суб’єкта малого підприємництва (заробітна плата погодинна)</w:t>
            </w:r>
          </w:p>
          <w:p w:rsidR="003F7C88" w:rsidRPr="005D3C65" w:rsidRDefault="003F7C88" w:rsidP="006D68F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(1 год. х </w:t>
            </w:r>
            <w:r w:rsidR="00C42A4C" w:rsidRPr="005D3C65">
              <w:rPr>
                <w:rFonts w:ascii="Times New Roman" w:eastAsia="Times New Roman" w:hAnsi="Times New Roman" w:cs="Times New Roman"/>
                <w:color w:val="000000"/>
                <w:sz w:val="28"/>
                <w:szCs w:val="28"/>
                <w:lang w:eastAsia="uk-UA"/>
              </w:rPr>
              <w:t>4</w:t>
            </w:r>
            <w:r w:rsidR="006D68FB">
              <w:rPr>
                <w:rFonts w:ascii="Times New Roman" w:eastAsia="Times New Roman" w:hAnsi="Times New Roman" w:cs="Times New Roman"/>
                <w:color w:val="000000"/>
                <w:sz w:val="28"/>
                <w:szCs w:val="28"/>
                <w:lang w:eastAsia="uk-UA"/>
              </w:rPr>
              <w:t>8</w:t>
            </w:r>
            <w:bookmarkStart w:id="0" w:name="_GoBack"/>
            <w:bookmarkEnd w:id="0"/>
            <w:r w:rsidRPr="005D3C65">
              <w:rPr>
                <w:rFonts w:ascii="Times New Roman" w:eastAsia="Times New Roman" w:hAnsi="Times New Roman" w:cs="Times New Roman"/>
                <w:color w:val="000000"/>
                <w:sz w:val="28"/>
                <w:szCs w:val="28"/>
                <w:lang w:eastAsia="uk-UA"/>
              </w:rPr>
              <w:t>)</w:t>
            </w:r>
          </w:p>
        </w:tc>
        <w:tc>
          <w:tcPr>
            <w:tcW w:w="2223" w:type="dxa"/>
            <w:tcBorders>
              <w:right w:val="nil"/>
            </w:tcBorders>
            <w:tcMar>
              <w:top w:w="225" w:type="dxa"/>
              <w:left w:w="75" w:type="dxa"/>
              <w:bottom w:w="225" w:type="dxa"/>
              <w:right w:w="75" w:type="dxa"/>
            </w:tcMar>
            <w:hideMark/>
          </w:tcPr>
          <w:p w:rsidR="003F7C88" w:rsidRPr="005D3C65" w:rsidRDefault="00C42A4C" w:rsidP="00F82BF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r w:rsidR="00F82BFB">
              <w:rPr>
                <w:rFonts w:ascii="Times New Roman" w:eastAsia="Times New Roman" w:hAnsi="Times New Roman" w:cs="Times New Roman"/>
                <w:color w:val="000000"/>
                <w:sz w:val="28"/>
                <w:szCs w:val="28"/>
                <w:lang w:eastAsia="uk-UA"/>
              </w:rPr>
              <w:t>8</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10</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Процедура організації виконання вимог регулювання, грн.</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Формула: витрати часу з підготовки та подання інформації Х вартість часу суб’єкта малого підприємництва (заробітна плата погодинна)</w:t>
            </w:r>
          </w:p>
          <w:p w:rsidR="003F7C88" w:rsidRPr="005D3C65" w:rsidRDefault="003F7C88" w:rsidP="009115FD">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 xml:space="preserve">(1 год. х </w:t>
            </w:r>
            <w:r w:rsidR="009115FD" w:rsidRPr="005D3C65">
              <w:rPr>
                <w:rFonts w:ascii="Times New Roman" w:eastAsia="Times New Roman" w:hAnsi="Times New Roman" w:cs="Times New Roman"/>
                <w:color w:val="000000"/>
                <w:sz w:val="28"/>
                <w:szCs w:val="28"/>
                <w:lang w:eastAsia="uk-UA"/>
              </w:rPr>
              <w:t>0</w:t>
            </w:r>
            <w:r w:rsidRPr="005D3C65">
              <w:rPr>
                <w:rFonts w:ascii="Times New Roman" w:eastAsia="Times New Roman" w:hAnsi="Times New Roman" w:cs="Times New Roman"/>
                <w:color w:val="000000"/>
                <w:sz w:val="28"/>
                <w:szCs w:val="28"/>
                <w:lang w:eastAsia="uk-UA"/>
              </w:rPr>
              <w:t>)</w:t>
            </w:r>
          </w:p>
        </w:tc>
        <w:tc>
          <w:tcPr>
            <w:tcW w:w="2223" w:type="dxa"/>
            <w:tcBorders>
              <w:right w:val="nil"/>
            </w:tcBorders>
            <w:tcMar>
              <w:top w:w="225" w:type="dxa"/>
              <w:left w:w="75" w:type="dxa"/>
              <w:bottom w:w="225" w:type="dxa"/>
              <w:right w:w="75" w:type="dxa"/>
            </w:tcMar>
            <w:hideMark/>
          </w:tcPr>
          <w:p w:rsidR="003F7C88" w:rsidRPr="005D3C65" w:rsidRDefault="009115FD" w:rsidP="009115FD">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r w:rsidR="003F7C88" w:rsidRPr="005D3C65">
              <w:rPr>
                <w:rFonts w:ascii="Times New Roman" w:eastAsia="Times New Roman" w:hAnsi="Times New Roman" w:cs="Times New Roman"/>
                <w:color w:val="000000"/>
                <w:sz w:val="28"/>
                <w:szCs w:val="28"/>
                <w:lang w:eastAsia="uk-UA"/>
              </w:rPr>
              <w:t>,</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11</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Процедури офіційного звітування</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12</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Процедури щодо забезпечення процесу перевірок</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13</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Інші процедури</w:t>
            </w:r>
          </w:p>
        </w:tc>
        <w:tc>
          <w:tcPr>
            <w:tcW w:w="2223"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14</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Разом, гривень (сума рядків 9+10+11+12+13)</w:t>
            </w:r>
          </w:p>
        </w:tc>
        <w:tc>
          <w:tcPr>
            <w:tcW w:w="2223" w:type="dxa"/>
            <w:tcBorders>
              <w:right w:val="nil"/>
            </w:tcBorders>
            <w:tcMar>
              <w:top w:w="225" w:type="dxa"/>
              <w:left w:w="75" w:type="dxa"/>
              <w:bottom w:w="225" w:type="dxa"/>
              <w:right w:w="75" w:type="dxa"/>
            </w:tcMar>
            <w:hideMark/>
          </w:tcPr>
          <w:p w:rsidR="003F7C88" w:rsidRPr="005D3C65" w:rsidRDefault="009115FD" w:rsidP="00F82BF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r w:rsidR="00F82BFB">
              <w:rPr>
                <w:rFonts w:ascii="Times New Roman" w:eastAsia="Times New Roman" w:hAnsi="Times New Roman" w:cs="Times New Roman"/>
                <w:color w:val="000000"/>
                <w:sz w:val="28"/>
                <w:szCs w:val="28"/>
                <w:lang w:eastAsia="uk-UA"/>
              </w:rPr>
              <w:t>8</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15</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Кількість суб’єктів малого підприємництва, що повинні виконати вимоги регулювання, одиниць</w:t>
            </w:r>
          </w:p>
        </w:tc>
        <w:tc>
          <w:tcPr>
            <w:tcW w:w="2223" w:type="dxa"/>
            <w:tcBorders>
              <w:right w:val="nil"/>
            </w:tcBorders>
            <w:tcMar>
              <w:top w:w="225" w:type="dxa"/>
              <w:left w:w="75" w:type="dxa"/>
              <w:bottom w:w="225" w:type="dxa"/>
              <w:right w:w="75" w:type="dxa"/>
            </w:tcMar>
            <w:hideMark/>
          </w:tcPr>
          <w:p w:rsidR="003F7C88" w:rsidRPr="005D3C65" w:rsidRDefault="003F7C88" w:rsidP="005D5DE0">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w:t>
            </w:r>
            <w:r w:rsidR="00D9396B" w:rsidRPr="005D3C65">
              <w:rPr>
                <w:rFonts w:ascii="Times New Roman" w:eastAsia="Times New Roman" w:hAnsi="Times New Roman" w:cs="Times New Roman"/>
                <w:color w:val="000000"/>
                <w:sz w:val="28"/>
                <w:szCs w:val="28"/>
                <w:lang w:eastAsia="uk-UA"/>
              </w:rPr>
              <w:t>626</w:t>
            </w:r>
          </w:p>
        </w:tc>
      </w:tr>
      <w:tr w:rsidR="003F7C88" w:rsidRPr="005D3C65" w:rsidTr="00507E32">
        <w:tc>
          <w:tcPr>
            <w:tcW w:w="652"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16</w:t>
            </w:r>
          </w:p>
        </w:tc>
        <w:tc>
          <w:tcPr>
            <w:tcW w:w="7775" w:type="dxa"/>
            <w:gridSpan w:val="2"/>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Сумарно, гривень Формула: (рядок 14 х рядок 15)</w:t>
            </w:r>
          </w:p>
        </w:tc>
        <w:tc>
          <w:tcPr>
            <w:tcW w:w="2223" w:type="dxa"/>
            <w:tcBorders>
              <w:right w:val="nil"/>
            </w:tcBorders>
            <w:tcMar>
              <w:top w:w="225" w:type="dxa"/>
              <w:left w:w="75" w:type="dxa"/>
              <w:bottom w:w="225" w:type="dxa"/>
              <w:right w:w="75" w:type="dxa"/>
            </w:tcMar>
            <w:hideMark/>
          </w:tcPr>
          <w:p w:rsidR="003F7C88" w:rsidRPr="005D3C65" w:rsidRDefault="000F4846" w:rsidP="000F4846">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78048</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Бюджетні витрати на адміністрування регулювання суб’єктів малого підприємництва </w:t>
      </w:r>
      <w:r w:rsidRPr="005D3C65">
        <w:rPr>
          <w:rFonts w:ascii="Times New Roman" w:eastAsia="Times New Roman" w:hAnsi="Times New Roman" w:cs="Times New Roman"/>
          <w:color w:val="000000"/>
          <w:sz w:val="28"/>
          <w:szCs w:val="28"/>
          <w:lang w:eastAsia="uk-UA"/>
        </w:rPr>
        <w:t>– відсутні. Процедура організації благоустрою територій регулюється Законом України «Про благоустрій населених пунктів», Типовими правилами благоустрою території населеного пункту, затверджених Наказом Міністерства регіонального розвитку, будівництва та житлово-комунального господарст</w:t>
      </w:r>
      <w:r w:rsidR="00841AA2" w:rsidRPr="005D3C65">
        <w:rPr>
          <w:rFonts w:ascii="Times New Roman" w:eastAsia="Times New Roman" w:hAnsi="Times New Roman" w:cs="Times New Roman"/>
          <w:color w:val="000000"/>
          <w:sz w:val="28"/>
          <w:szCs w:val="28"/>
          <w:lang w:eastAsia="uk-UA"/>
        </w:rPr>
        <w:t>ва України від 27.11.2017 № 310</w:t>
      </w:r>
      <w:r w:rsidRPr="005D3C65">
        <w:rPr>
          <w:rFonts w:ascii="Times New Roman" w:eastAsia="Times New Roman" w:hAnsi="Times New Roman" w:cs="Times New Roman"/>
          <w:color w:val="000000"/>
          <w:sz w:val="28"/>
          <w:szCs w:val="28"/>
          <w:lang w:eastAsia="uk-UA"/>
        </w:rPr>
        <w:t xml:space="preserve">. Впровадження даного регуляторного акту не створює нових умов діяльності учасників правовідносин в сфері благоустрою, а забезпечує дію на всій території територіальної громади єдиного нормативно-правого акту – Правил благоустрою території </w:t>
      </w:r>
      <w:proofErr w:type="spellStart"/>
      <w:r w:rsidR="001F128D" w:rsidRPr="005D3C65">
        <w:rPr>
          <w:rFonts w:ascii="Times New Roman" w:eastAsia="Times New Roman" w:hAnsi="Times New Roman" w:cs="Times New Roman"/>
          <w:color w:val="000000"/>
          <w:sz w:val="28"/>
          <w:szCs w:val="28"/>
          <w:lang w:eastAsia="uk-UA"/>
        </w:rPr>
        <w:t>Долинської</w:t>
      </w:r>
      <w:proofErr w:type="spellEnd"/>
      <w:r w:rsidR="001F128D" w:rsidRPr="005D3C65">
        <w:rPr>
          <w:rFonts w:ascii="Times New Roman" w:eastAsia="Times New Roman" w:hAnsi="Times New Roman" w:cs="Times New Roman"/>
          <w:color w:val="000000"/>
          <w:sz w:val="28"/>
          <w:szCs w:val="28"/>
          <w:lang w:eastAsia="uk-UA"/>
        </w:rPr>
        <w:t xml:space="preserve"> </w:t>
      </w:r>
      <w:r w:rsidRPr="005D3C65">
        <w:rPr>
          <w:rFonts w:ascii="Times New Roman" w:eastAsia="Times New Roman" w:hAnsi="Times New Roman" w:cs="Times New Roman"/>
          <w:color w:val="000000"/>
          <w:sz w:val="28"/>
          <w:szCs w:val="28"/>
          <w:lang w:eastAsia="uk-UA"/>
        </w:rPr>
        <w:t>територіальної громади.</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4. Розрахунок сумарних витрат суб’єктів малого підприємництва, що виникають на виконання вимог регулювання</w:t>
      </w:r>
    </w:p>
    <w:tbl>
      <w:tblPr>
        <w:tblW w:w="10650" w:type="dxa"/>
        <w:tblCellMar>
          <w:left w:w="0" w:type="dxa"/>
          <w:right w:w="0" w:type="dxa"/>
        </w:tblCellMar>
        <w:tblLook w:val="04A0" w:firstRow="1" w:lastRow="0" w:firstColumn="1" w:lastColumn="0" w:noHBand="0" w:noVBand="1"/>
      </w:tblPr>
      <w:tblGrid>
        <w:gridCol w:w="659"/>
        <w:gridCol w:w="5937"/>
        <w:gridCol w:w="4054"/>
      </w:tblGrid>
      <w:tr w:rsidR="003F7C88" w:rsidRPr="005D3C65" w:rsidTr="00507E32">
        <w:tc>
          <w:tcPr>
            <w:tcW w:w="659"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П/н</w:t>
            </w:r>
          </w:p>
        </w:tc>
        <w:tc>
          <w:tcPr>
            <w:tcW w:w="5937" w:type="dxa"/>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Показник</w:t>
            </w:r>
          </w:p>
        </w:tc>
        <w:tc>
          <w:tcPr>
            <w:tcW w:w="4054"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Перший рік регулювання</w:t>
            </w:r>
          </w:p>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(стартовий), грн</w:t>
            </w:r>
          </w:p>
        </w:tc>
      </w:tr>
      <w:tr w:rsidR="003F7C88" w:rsidRPr="005D3C65" w:rsidTr="00507E32">
        <w:tc>
          <w:tcPr>
            <w:tcW w:w="659"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lastRenderedPageBreak/>
              <w:t>1</w:t>
            </w:r>
          </w:p>
        </w:tc>
        <w:tc>
          <w:tcPr>
            <w:tcW w:w="5937" w:type="dxa"/>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Оцінка «прямих» витрат суб’єктів малого підприємництва на виконання регулювання</w:t>
            </w:r>
          </w:p>
        </w:tc>
        <w:tc>
          <w:tcPr>
            <w:tcW w:w="4054"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9"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2</w:t>
            </w:r>
          </w:p>
        </w:tc>
        <w:tc>
          <w:tcPr>
            <w:tcW w:w="5937" w:type="dxa"/>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4054" w:type="dxa"/>
            <w:tcBorders>
              <w:right w:val="nil"/>
            </w:tcBorders>
            <w:tcMar>
              <w:top w:w="225" w:type="dxa"/>
              <w:left w:w="75" w:type="dxa"/>
              <w:bottom w:w="225" w:type="dxa"/>
              <w:right w:w="75" w:type="dxa"/>
            </w:tcMar>
            <w:hideMark/>
          </w:tcPr>
          <w:p w:rsidR="003F7C88" w:rsidRPr="005D3C65" w:rsidRDefault="00DF1CC7" w:rsidP="00DF1CC7">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78048</w:t>
            </w:r>
          </w:p>
        </w:tc>
      </w:tr>
      <w:tr w:rsidR="003F7C88" w:rsidRPr="005D3C65" w:rsidTr="00507E32">
        <w:tc>
          <w:tcPr>
            <w:tcW w:w="659"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3</w:t>
            </w:r>
          </w:p>
        </w:tc>
        <w:tc>
          <w:tcPr>
            <w:tcW w:w="5937" w:type="dxa"/>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Сумарні витрати малого підприємництва на виконання запланованого регулювання</w:t>
            </w:r>
          </w:p>
        </w:tc>
        <w:tc>
          <w:tcPr>
            <w:tcW w:w="4054" w:type="dxa"/>
            <w:tcBorders>
              <w:right w:val="nil"/>
            </w:tcBorders>
            <w:tcMar>
              <w:top w:w="225" w:type="dxa"/>
              <w:left w:w="75" w:type="dxa"/>
              <w:bottom w:w="225" w:type="dxa"/>
              <w:right w:w="75" w:type="dxa"/>
            </w:tcMar>
            <w:hideMark/>
          </w:tcPr>
          <w:p w:rsidR="003F7C88" w:rsidRPr="005D3C65" w:rsidRDefault="00DF1CC7" w:rsidP="00DF1CC7">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78048</w:t>
            </w:r>
          </w:p>
        </w:tc>
      </w:tr>
      <w:tr w:rsidR="003F7C88" w:rsidRPr="005D3C65" w:rsidTr="00507E32">
        <w:tc>
          <w:tcPr>
            <w:tcW w:w="659"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4</w:t>
            </w:r>
          </w:p>
        </w:tc>
        <w:tc>
          <w:tcPr>
            <w:tcW w:w="5937" w:type="dxa"/>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Бюджетні витрати на адміністрування регулювання суб’єктів малого підприємництва</w:t>
            </w:r>
          </w:p>
        </w:tc>
        <w:tc>
          <w:tcPr>
            <w:tcW w:w="4054" w:type="dxa"/>
            <w:tcBorders>
              <w:righ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0</w:t>
            </w:r>
          </w:p>
        </w:tc>
      </w:tr>
      <w:tr w:rsidR="003F7C88" w:rsidRPr="005D3C65" w:rsidTr="00507E32">
        <w:tc>
          <w:tcPr>
            <w:tcW w:w="659" w:type="dxa"/>
            <w:tcBorders>
              <w:left w:val="nil"/>
            </w:tcBorders>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5</w:t>
            </w:r>
          </w:p>
        </w:tc>
        <w:tc>
          <w:tcPr>
            <w:tcW w:w="5937" w:type="dxa"/>
            <w:tcMar>
              <w:top w:w="225" w:type="dxa"/>
              <w:left w:w="75" w:type="dxa"/>
              <w:bottom w:w="225" w:type="dxa"/>
              <w:right w:w="75" w:type="dxa"/>
            </w:tcMar>
            <w:hideMark/>
          </w:tcPr>
          <w:p w:rsidR="003F7C88" w:rsidRPr="005D3C65" w:rsidRDefault="003F7C88" w:rsidP="00D3257B">
            <w:pPr>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Сумарні витрати на виконання запланованого регулювання</w:t>
            </w:r>
          </w:p>
        </w:tc>
        <w:tc>
          <w:tcPr>
            <w:tcW w:w="4054" w:type="dxa"/>
            <w:tcBorders>
              <w:right w:val="nil"/>
            </w:tcBorders>
            <w:tcMar>
              <w:top w:w="225" w:type="dxa"/>
              <w:left w:w="75" w:type="dxa"/>
              <w:bottom w:w="225" w:type="dxa"/>
              <w:right w:w="75" w:type="dxa"/>
            </w:tcMar>
            <w:hideMark/>
          </w:tcPr>
          <w:p w:rsidR="003F7C88" w:rsidRPr="005D3C65" w:rsidRDefault="00DF1CC7" w:rsidP="00DF1CC7">
            <w:p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78048</w:t>
            </w:r>
          </w:p>
        </w:tc>
      </w:tr>
    </w:tbl>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5. Розроблення коригуючих (пом’якшувальних) заходів для малого підприємництва щодо запропонованого регулювання</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color w:val="000000"/>
          <w:sz w:val="28"/>
          <w:szCs w:val="28"/>
          <w:lang w:eastAsia="uk-UA"/>
        </w:rPr>
        <w:t>На основі аналізу статистичних даних, визначено, що зазначена сума є прийнятною для суб’єктів малого підприємництва і впровадження компенсаторних (пом’якшувальних) процедур не потрібно.</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3F7C88" w:rsidRPr="005D3C65" w:rsidRDefault="003F7C88" w:rsidP="00D3257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5D3C65">
        <w:rPr>
          <w:rFonts w:ascii="Times New Roman" w:eastAsia="Times New Roman" w:hAnsi="Times New Roman" w:cs="Times New Roman"/>
          <w:b/>
          <w:bCs/>
          <w:color w:val="000000"/>
          <w:sz w:val="28"/>
          <w:szCs w:val="28"/>
          <w:bdr w:val="none" w:sz="0" w:space="0" w:color="auto" w:frame="1"/>
          <w:lang w:eastAsia="uk-UA"/>
        </w:rPr>
        <w:t> </w:t>
      </w:r>
    </w:p>
    <w:p w:rsidR="00E64282" w:rsidRPr="005D3C65" w:rsidRDefault="00E64282" w:rsidP="00E64282">
      <w:pPr>
        <w:spacing w:after="0" w:line="240" w:lineRule="auto"/>
        <w:jc w:val="both"/>
        <w:rPr>
          <w:rFonts w:ascii="Times New Roman" w:eastAsia="SimSun" w:hAnsi="Times New Roman" w:cs="Times New Roman"/>
          <w:b/>
          <w:bCs/>
          <w:sz w:val="28"/>
          <w:szCs w:val="28"/>
          <w:lang w:eastAsia="zh-CN"/>
        </w:rPr>
      </w:pPr>
      <w:r w:rsidRPr="005D3C65">
        <w:rPr>
          <w:rFonts w:ascii="Times New Roman" w:eastAsia="SimSun" w:hAnsi="Times New Roman" w:cs="Times New Roman"/>
          <w:b/>
          <w:bCs/>
          <w:sz w:val="28"/>
          <w:szCs w:val="28"/>
          <w:lang w:eastAsia="zh-CN"/>
        </w:rPr>
        <w:t xml:space="preserve">Начальник управління благоустрою </w:t>
      </w:r>
    </w:p>
    <w:p w:rsidR="004E38AF" w:rsidRPr="00001A43" w:rsidRDefault="00001A43" w:rsidP="00E64282">
      <w:pPr>
        <w:spacing w:after="0" w:line="240" w:lineRule="auto"/>
        <w:jc w:val="both"/>
        <w:rPr>
          <w:rFonts w:ascii="Times New Roman" w:hAnsi="Times New Roman" w:cs="Times New Roman"/>
          <w:b/>
          <w:sz w:val="28"/>
          <w:szCs w:val="28"/>
        </w:rPr>
      </w:pPr>
      <w:r w:rsidRPr="005D3C65">
        <w:rPr>
          <w:rFonts w:ascii="Times New Roman" w:eastAsia="SimSun" w:hAnsi="Times New Roman" w:cs="Times New Roman"/>
          <w:b/>
          <w:bCs/>
          <w:sz w:val="28"/>
          <w:szCs w:val="28"/>
          <w:lang w:eastAsia="zh-CN"/>
        </w:rPr>
        <w:t>т</w:t>
      </w:r>
      <w:r w:rsidR="00E64282" w:rsidRPr="005D3C65">
        <w:rPr>
          <w:rFonts w:ascii="Times New Roman" w:eastAsia="SimSun" w:hAnsi="Times New Roman" w:cs="Times New Roman"/>
          <w:b/>
          <w:bCs/>
          <w:sz w:val="28"/>
          <w:szCs w:val="28"/>
          <w:lang w:eastAsia="zh-CN"/>
        </w:rPr>
        <w:t xml:space="preserve">а інфраструктури </w:t>
      </w:r>
      <w:proofErr w:type="spellStart"/>
      <w:r w:rsidR="00E64282" w:rsidRPr="005D3C65">
        <w:rPr>
          <w:rFonts w:ascii="Times New Roman" w:eastAsia="SimSun" w:hAnsi="Times New Roman" w:cs="Times New Roman"/>
          <w:b/>
          <w:bCs/>
          <w:sz w:val="28"/>
          <w:szCs w:val="28"/>
          <w:lang w:eastAsia="zh-CN"/>
        </w:rPr>
        <w:t>Долинської</w:t>
      </w:r>
      <w:proofErr w:type="spellEnd"/>
      <w:r w:rsidR="00E64282" w:rsidRPr="005D3C65">
        <w:rPr>
          <w:rFonts w:ascii="Times New Roman" w:eastAsia="SimSun" w:hAnsi="Times New Roman" w:cs="Times New Roman"/>
          <w:b/>
          <w:bCs/>
          <w:sz w:val="28"/>
          <w:szCs w:val="28"/>
          <w:lang w:eastAsia="zh-CN"/>
        </w:rPr>
        <w:t xml:space="preserve"> міської ради</w:t>
      </w:r>
      <w:r w:rsidR="00E64282" w:rsidRPr="005D3C65">
        <w:rPr>
          <w:rFonts w:ascii="Times New Roman" w:eastAsia="SimSun" w:hAnsi="Times New Roman" w:cs="Times New Roman"/>
          <w:b/>
          <w:bCs/>
          <w:sz w:val="28"/>
          <w:szCs w:val="28"/>
          <w:lang w:eastAsia="zh-CN"/>
        </w:rPr>
        <w:tab/>
      </w:r>
      <w:r w:rsidR="00E64282" w:rsidRPr="005D3C65">
        <w:rPr>
          <w:rFonts w:ascii="Times New Roman" w:eastAsia="SimSun" w:hAnsi="Times New Roman" w:cs="Times New Roman"/>
          <w:b/>
          <w:bCs/>
          <w:sz w:val="28"/>
          <w:szCs w:val="28"/>
          <w:lang w:eastAsia="zh-CN"/>
        </w:rPr>
        <w:tab/>
      </w:r>
      <w:r w:rsidR="00E64282" w:rsidRPr="005D3C65">
        <w:rPr>
          <w:rFonts w:ascii="Times New Roman" w:eastAsia="SimSun" w:hAnsi="Times New Roman" w:cs="Times New Roman"/>
          <w:b/>
          <w:bCs/>
          <w:sz w:val="28"/>
          <w:szCs w:val="28"/>
          <w:lang w:eastAsia="zh-CN"/>
        </w:rPr>
        <w:tab/>
        <w:t>Віталій ЮСИП</w:t>
      </w:r>
    </w:p>
    <w:sectPr w:rsidR="004E38AF" w:rsidRPr="00001A43" w:rsidSect="00796490">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080"/>
    <w:multiLevelType w:val="multilevel"/>
    <w:tmpl w:val="D02E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B383C"/>
    <w:multiLevelType w:val="multilevel"/>
    <w:tmpl w:val="292CC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9382F"/>
    <w:multiLevelType w:val="multilevel"/>
    <w:tmpl w:val="3B92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B03397"/>
    <w:multiLevelType w:val="multilevel"/>
    <w:tmpl w:val="B794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AF"/>
    <w:rsid w:val="00001A43"/>
    <w:rsid w:val="00006CFB"/>
    <w:rsid w:val="00037CCF"/>
    <w:rsid w:val="000730C1"/>
    <w:rsid w:val="000A1454"/>
    <w:rsid w:val="000D102C"/>
    <w:rsid w:val="000D5492"/>
    <w:rsid w:val="000F4846"/>
    <w:rsid w:val="0011468A"/>
    <w:rsid w:val="001444DA"/>
    <w:rsid w:val="00173149"/>
    <w:rsid w:val="00194BC0"/>
    <w:rsid w:val="001A0592"/>
    <w:rsid w:val="001B12A5"/>
    <w:rsid w:val="001B657A"/>
    <w:rsid w:val="001C7F14"/>
    <w:rsid w:val="001D3166"/>
    <w:rsid w:val="001F128D"/>
    <w:rsid w:val="002053C2"/>
    <w:rsid w:val="00236EF4"/>
    <w:rsid w:val="002557D0"/>
    <w:rsid w:val="00261C9C"/>
    <w:rsid w:val="002C6481"/>
    <w:rsid w:val="00301222"/>
    <w:rsid w:val="00311500"/>
    <w:rsid w:val="00315513"/>
    <w:rsid w:val="00332209"/>
    <w:rsid w:val="00337356"/>
    <w:rsid w:val="003533A0"/>
    <w:rsid w:val="00381347"/>
    <w:rsid w:val="003D6D9E"/>
    <w:rsid w:val="003D752E"/>
    <w:rsid w:val="003E5631"/>
    <w:rsid w:val="003F2D06"/>
    <w:rsid w:val="003F7C88"/>
    <w:rsid w:val="004123BD"/>
    <w:rsid w:val="00437CF9"/>
    <w:rsid w:val="004742DF"/>
    <w:rsid w:val="00487EF4"/>
    <w:rsid w:val="004A5CBD"/>
    <w:rsid w:val="004B46F7"/>
    <w:rsid w:val="004C092C"/>
    <w:rsid w:val="004E38AF"/>
    <w:rsid w:val="00507E32"/>
    <w:rsid w:val="00550E1E"/>
    <w:rsid w:val="0056309A"/>
    <w:rsid w:val="00581922"/>
    <w:rsid w:val="005936DE"/>
    <w:rsid w:val="005C4521"/>
    <w:rsid w:val="005D3C65"/>
    <w:rsid w:val="005D5DE0"/>
    <w:rsid w:val="006304EA"/>
    <w:rsid w:val="0063268E"/>
    <w:rsid w:val="00637D2B"/>
    <w:rsid w:val="00652206"/>
    <w:rsid w:val="00655C14"/>
    <w:rsid w:val="00693025"/>
    <w:rsid w:val="006A155F"/>
    <w:rsid w:val="006D68FB"/>
    <w:rsid w:val="006E028D"/>
    <w:rsid w:val="006F552A"/>
    <w:rsid w:val="00701A7B"/>
    <w:rsid w:val="00711A26"/>
    <w:rsid w:val="00760760"/>
    <w:rsid w:val="00780F4F"/>
    <w:rsid w:val="00796490"/>
    <w:rsid w:val="007A4B67"/>
    <w:rsid w:val="007B2064"/>
    <w:rsid w:val="007C1D3E"/>
    <w:rsid w:val="007D044A"/>
    <w:rsid w:val="00821A40"/>
    <w:rsid w:val="008273EE"/>
    <w:rsid w:val="00836EC0"/>
    <w:rsid w:val="00840A20"/>
    <w:rsid w:val="00841AA2"/>
    <w:rsid w:val="00841AD8"/>
    <w:rsid w:val="008738E4"/>
    <w:rsid w:val="008A190B"/>
    <w:rsid w:val="008B5C00"/>
    <w:rsid w:val="008D45AD"/>
    <w:rsid w:val="009115FD"/>
    <w:rsid w:val="00931AAD"/>
    <w:rsid w:val="009409A6"/>
    <w:rsid w:val="00975800"/>
    <w:rsid w:val="00984727"/>
    <w:rsid w:val="0098733E"/>
    <w:rsid w:val="009B613E"/>
    <w:rsid w:val="009C3671"/>
    <w:rsid w:val="009C3923"/>
    <w:rsid w:val="00A00DF6"/>
    <w:rsid w:val="00A21B68"/>
    <w:rsid w:val="00A2693C"/>
    <w:rsid w:val="00A45E07"/>
    <w:rsid w:val="00AB2614"/>
    <w:rsid w:val="00AF1BF8"/>
    <w:rsid w:val="00B071EC"/>
    <w:rsid w:val="00B115B0"/>
    <w:rsid w:val="00B248C6"/>
    <w:rsid w:val="00B35D7F"/>
    <w:rsid w:val="00B917D5"/>
    <w:rsid w:val="00BB3C06"/>
    <w:rsid w:val="00BD4CEC"/>
    <w:rsid w:val="00C12475"/>
    <w:rsid w:val="00C15324"/>
    <w:rsid w:val="00C42A4C"/>
    <w:rsid w:val="00C5312A"/>
    <w:rsid w:val="00C53C86"/>
    <w:rsid w:val="00C817A8"/>
    <w:rsid w:val="00CD06FC"/>
    <w:rsid w:val="00CE3596"/>
    <w:rsid w:val="00CF1996"/>
    <w:rsid w:val="00CF7ED0"/>
    <w:rsid w:val="00D205E0"/>
    <w:rsid w:val="00D3257B"/>
    <w:rsid w:val="00D4330F"/>
    <w:rsid w:val="00D53703"/>
    <w:rsid w:val="00D71FCE"/>
    <w:rsid w:val="00D9396B"/>
    <w:rsid w:val="00DF1CC7"/>
    <w:rsid w:val="00DF2430"/>
    <w:rsid w:val="00E10688"/>
    <w:rsid w:val="00E12821"/>
    <w:rsid w:val="00E13140"/>
    <w:rsid w:val="00E20BF0"/>
    <w:rsid w:val="00E21CD1"/>
    <w:rsid w:val="00E25254"/>
    <w:rsid w:val="00E32FA8"/>
    <w:rsid w:val="00E52F9E"/>
    <w:rsid w:val="00E64282"/>
    <w:rsid w:val="00E65BA5"/>
    <w:rsid w:val="00E739D0"/>
    <w:rsid w:val="00E84EFF"/>
    <w:rsid w:val="00ED5AD1"/>
    <w:rsid w:val="00EF0D7A"/>
    <w:rsid w:val="00F16A60"/>
    <w:rsid w:val="00F82BFB"/>
    <w:rsid w:val="00FB761E"/>
    <w:rsid w:val="00FC4DE4"/>
    <w:rsid w:val="00FC6380"/>
    <w:rsid w:val="00FD07A1"/>
    <w:rsid w:val="00FD69C4"/>
    <w:rsid w:val="00FE57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1468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7C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F7C88"/>
    <w:rPr>
      <w:b/>
      <w:bCs/>
    </w:rPr>
  </w:style>
  <w:style w:type="character" w:styleId="a5">
    <w:name w:val="Hyperlink"/>
    <w:basedOn w:val="a0"/>
    <w:uiPriority w:val="99"/>
    <w:semiHidden/>
    <w:unhideWhenUsed/>
    <w:rsid w:val="003F7C88"/>
    <w:rPr>
      <w:color w:val="0000FF"/>
      <w:u w:val="single"/>
    </w:rPr>
  </w:style>
  <w:style w:type="character" w:customStyle="1" w:styleId="icon">
    <w:name w:val="icon"/>
    <w:basedOn w:val="a0"/>
    <w:rsid w:val="003F7C88"/>
  </w:style>
  <w:style w:type="paragraph" w:styleId="HTML">
    <w:name w:val="HTML Preformatted"/>
    <w:basedOn w:val="a"/>
    <w:link w:val="HTML0"/>
    <w:uiPriority w:val="99"/>
    <w:semiHidden/>
    <w:unhideWhenUsed/>
    <w:rsid w:val="003F7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3F7C88"/>
    <w:rPr>
      <w:rFonts w:ascii="Courier New" w:eastAsia="Times New Roman" w:hAnsi="Courier New" w:cs="Courier New"/>
      <w:sz w:val="20"/>
      <w:szCs w:val="20"/>
      <w:lang w:eastAsia="uk-UA"/>
    </w:rPr>
  </w:style>
  <w:style w:type="character" w:styleId="a6">
    <w:name w:val="Emphasis"/>
    <w:basedOn w:val="a0"/>
    <w:uiPriority w:val="20"/>
    <w:qFormat/>
    <w:rsid w:val="003F7C88"/>
    <w:rPr>
      <w:i/>
      <w:iCs/>
    </w:rPr>
  </w:style>
  <w:style w:type="paragraph" w:styleId="a7">
    <w:name w:val="Balloon Text"/>
    <w:basedOn w:val="a"/>
    <w:link w:val="a8"/>
    <w:uiPriority w:val="99"/>
    <w:semiHidden/>
    <w:unhideWhenUsed/>
    <w:rsid w:val="003F7C8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F7C88"/>
    <w:rPr>
      <w:rFonts w:ascii="Tahoma" w:hAnsi="Tahoma" w:cs="Tahoma"/>
      <w:sz w:val="16"/>
      <w:szCs w:val="16"/>
    </w:rPr>
  </w:style>
  <w:style w:type="character" w:customStyle="1" w:styleId="30">
    <w:name w:val="Заголовок 3 Знак"/>
    <w:basedOn w:val="a0"/>
    <w:link w:val="3"/>
    <w:uiPriority w:val="9"/>
    <w:rsid w:val="0011468A"/>
    <w:rPr>
      <w:rFonts w:ascii="Times New Roman" w:eastAsia="Times New Roman" w:hAnsi="Times New Roman" w:cs="Times New Roman"/>
      <w:b/>
      <w:bCs/>
      <w:sz w:val="27"/>
      <w:szCs w:val="27"/>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1468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7C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F7C88"/>
    <w:rPr>
      <w:b/>
      <w:bCs/>
    </w:rPr>
  </w:style>
  <w:style w:type="character" w:styleId="a5">
    <w:name w:val="Hyperlink"/>
    <w:basedOn w:val="a0"/>
    <w:uiPriority w:val="99"/>
    <w:semiHidden/>
    <w:unhideWhenUsed/>
    <w:rsid w:val="003F7C88"/>
    <w:rPr>
      <w:color w:val="0000FF"/>
      <w:u w:val="single"/>
    </w:rPr>
  </w:style>
  <w:style w:type="character" w:customStyle="1" w:styleId="icon">
    <w:name w:val="icon"/>
    <w:basedOn w:val="a0"/>
    <w:rsid w:val="003F7C88"/>
  </w:style>
  <w:style w:type="paragraph" w:styleId="HTML">
    <w:name w:val="HTML Preformatted"/>
    <w:basedOn w:val="a"/>
    <w:link w:val="HTML0"/>
    <w:uiPriority w:val="99"/>
    <w:semiHidden/>
    <w:unhideWhenUsed/>
    <w:rsid w:val="003F7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3F7C88"/>
    <w:rPr>
      <w:rFonts w:ascii="Courier New" w:eastAsia="Times New Roman" w:hAnsi="Courier New" w:cs="Courier New"/>
      <w:sz w:val="20"/>
      <w:szCs w:val="20"/>
      <w:lang w:eastAsia="uk-UA"/>
    </w:rPr>
  </w:style>
  <w:style w:type="character" w:styleId="a6">
    <w:name w:val="Emphasis"/>
    <w:basedOn w:val="a0"/>
    <w:uiPriority w:val="20"/>
    <w:qFormat/>
    <w:rsid w:val="003F7C88"/>
    <w:rPr>
      <w:i/>
      <w:iCs/>
    </w:rPr>
  </w:style>
  <w:style w:type="paragraph" w:styleId="a7">
    <w:name w:val="Balloon Text"/>
    <w:basedOn w:val="a"/>
    <w:link w:val="a8"/>
    <w:uiPriority w:val="99"/>
    <w:semiHidden/>
    <w:unhideWhenUsed/>
    <w:rsid w:val="003F7C8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F7C88"/>
    <w:rPr>
      <w:rFonts w:ascii="Tahoma" w:hAnsi="Tahoma" w:cs="Tahoma"/>
      <w:sz w:val="16"/>
      <w:szCs w:val="16"/>
    </w:rPr>
  </w:style>
  <w:style w:type="character" w:customStyle="1" w:styleId="30">
    <w:name w:val="Заголовок 3 Знак"/>
    <w:basedOn w:val="a0"/>
    <w:link w:val="3"/>
    <w:uiPriority w:val="9"/>
    <w:rsid w:val="0011468A"/>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83007">
      <w:bodyDiv w:val="1"/>
      <w:marLeft w:val="0"/>
      <w:marRight w:val="0"/>
      <w:marTop w:val="0"/>
      <w:marBottom w:val="0"/>
      <w:divBdr>
        <w:top w:val="none" w:sz="0" w:space="0" w:color="auto"/>
        <w:left w:val="none" w:sz="0" w:space="0" w:color="auto"/>
        <w:bottom w:val="none" w:sz="0" w:space="0" w:color="auto"/>
        <w:right w:val="none" w:sz="0" w:space="0" w:color="auto"/>
      </w:divBdr>
      <w:divsChild>
        <w:div w:id="1534927992">
          <w:marLeft w:val="0"/>
          <w:marRight w:val="0"/>
          <w:marTop w:val="450"/>
          <w:marBottom w:val="450"/>
          <w:divBdr>
            <w:top w:val="none" w:sz="0" w:space="0" w:color="auto"/>
            <w:left w:val="none" w:sz="0" w:space="0" w:color="auto"/>
            <w:bottom w:val="none" w:sz="0" w:space="0" w:color="auto"/>
            <w:right w:val="none" w:sz="0" w:space="0" w:color="auto"/>
          </w:divBdr>
        </w:div>
        <w:div w:id="891159720">
          <w:marLeft w:val="0"/>
          <w:marRight w:val="0"/>
          <w:marTop w:val="0"/>
          <w:marBottom w:val="0"/>
          <w:divBdr>
            <w:top w:val="none" w:sz="0" w:space="0" w:color="auto"/>
            <w:left w:val="none" w:sz="0" w:space="0" w:color="auto"/>
            <w:bottom w:val="none" w:sz="0" w:space="0" w:color="auto"/>
            <w:right w:val="none" w:sz="0" w:space="0" w:color="auto"/>
          </w:divBdr>
        </w:div>
      </w:divsChild>
    </w:div>
    <w:div w:id="904679483">
      <w:bodyDiv w:val="1"/>
      <w:marLeft w:val="0"/>
      <w:marRight w:val="0"/>
      <w:marTop w:val="0"/>
      <w:marBottom w:val="0"/>
      <w:divBdr>
        <w:top w:val="none" w:sz="0" w:space="0" w:color="auto"/>
        <w:left w:val="none" w:sz="0" w:space="0" w:color="auto"/>
        <w:bottom w:val="none" w:sz="0" w:space="0" w:color="auto"/>
        <w:right w:val="none" w:sz="0" w:space="0" w:color="auto"/>
      </w:divBdr>
    </w:div>
    <w:div w:id="1195849787">
      <w:bodyDiv w:val="1"/>
      <w:marLeft w:val="0"/>
      <w:marRight w:val="0"/>
      <w:marTop w:val="0"/>
      <w:marBottom w:val="0"/>
      <w:divBdr>
        <w:top w:val="none" w:sz="0" w:space="0" w:color="auto"/>
        <w:left w:val="none" w:sz="0" w:space="0" w:color="auto"/>
        <w:bottom w:val="none" w:sz="0" w:space="0" w:color="auto"/>
        <w:right w:val="none" w:sz="0" w:space="0" w:color="auto"/>
      </w:divBdr>
      <w:divsChild>
        <w:div w:id="1802112999">
          <w:marLeft w:val="0"/>
          <w:marRight w:val="0"/>
          <w:marTop w:val="0"/>
          <w:marBottom w:val="450"/>
          <w:divBdr>
            <w:top w:val="none" w:sz="0" w:space="0" w:color="auto"/>
            <w:left w:val="none" w:sz="0" w:space="0" w:color="auto"/>
            <w:bottom w:val="none" w:sz="0" w:space="0" w:color="auto"/>
            <w:right w:val="none" w:sz="0" w:space="0" w:color="auto"/>
          </w:divBdr>
          <w:divsChild>
            <w:div w:id="307713844">
              <w:marLeft w:val="0"/>
              <w:marRight w:val="0"/>
              <w:marTop w:val="0"/>
              <w:marBottom w:val="0"/>
              <w:divBdr>
                <w:top w:val="none" w:sz="0" w:space="0" w:color="auto"/>
                <w:left w:val="none" w:sz="0" w:space="0" w:color="auto"/>
                <w:bottom w:val="none" w:sz="0" w:space="0" w:color="auto"/>
                <w:right w:val="none" w:sz="0" w:space="0" w:color="auto"/>
              </w:divBdr>
            </w:div>
            <w:div w:id="119225244">
              <w:marLeft w:val="0"/>
              <w:marRight w:val="0"/>
              <w:marTop w:val="0"/>
              <w:marBottom w:val="0"/>
              <w:divBdr>
                <w:top w:val="none" w:sz="0" w:space="0" w:color="auto"/>
                <w:left w:val="none" w:sz="0" w:space="0" w:color="auto"/>
                <w:bottom w:val="none" w:sz="0" w:space="0" w:color="auto"/>
                <w:right w:val="none" w:sz="0" w:space="0" w:color="auto"/>
              </w:divBdr>
            </w:div>
            <w:div w:id="1744523115">
              <w:marLeft w:val="0"/>
              <w:marRight w:val="0"/>
              <w:marTop w:val="450"/>
              <w:marBottom w:val="150"/>
              <w:divBdr>
                <w:top w:val="none" w:sz="0" w:space="0" w:color="auto"/>
                <w:left w:val="none" w:sz="0" w:space="0" w:color="auto"/>
                <w:bottom w:val="none" w:sz="0" w:space="0" w:color="auto"/>
                <w:right w:val="none" w:sz="0" w:space="0" w:color="auto"/>
              </w:divBdr>
            </w:div>
            <w:div w:id="1714845690">
              <w:marLeft w:val="0"/>
              <w:marRight w:val="0"/>
              <w:marTop w:val="150"/>
              <w:marBottom w:val="225"/>
              <w:divBdr>
                <w:top w:val="none" w:sz="0" w:space="0" w:color="auto"/>
                <w:left w:val="none" w:sz="0" w:space="0" w:color="auto"/>
                <w:bottom w:val="none" w:sz="0" w:space="0" w:color="auto"/>
                <w:right w:val="none" w:sz="0" w:space="0" w:color="auto"/>
              </w:divBdr>
            </w:div>
            <w:div w:id="1581676177">
              <w:marLeft w:val="0"/>
              <w:marRight w:val="0"/>
              <w:marTop w:val="300"/>
              <w:marBottom w:val="150"/>
              <w:divBdr>
                <w:top w:val="none" w:sz="0" w:space="0" w:color="auto"/>
                <w:left w:val="none" w:sz="0" w:space="0" w:color="auto"/>
                <w:bottom w:val="none" w:sz="0" w:space="0" w:color="auto"/>
                <w:right w:val="none" w:sz="0" w:space="0" w:color="auto"/>
              </w:divBdr>
            </w:div>
            <w:div w:id="1128664841">
              <w:marLeft w:val="0"/>
              <w:marRight w:val="0"/>
              <w:marTop w:val="0"/>
              <w:marBottom w:val="300"/>
              <w:divBdr>
                <w:top w:val="none" w:sz="0" w:space="0" w:color="auto"/>
                <w:left w:val="none" w:sz="0" w:space="0" w:color="auto"/>
                <w:bottom w:val="none" w:sz="0" w:space="0" w:color="auto"/>
                <w:right w:val="none" w:sz="0" w:space="0" w:color="auto"/>
              </w:divBdr>
            </w:div>
          </w:divsChild>
        </w:div>
        <w:div w:id="93286406">
          <w:marLeft w:val="0"/>
          <w:marRight w:val="0"/>
          <w:marTop w:val="0"/>
          <w:marBottom w:val="0"/>
          <w:divBdr>
            <w:top w:val="none" w:sz="0" w:space="0" w:color="auto"/>
            <w:left w:val="none" w:sz="0" w:space="0" w:color="auto"/>
            <w:bottom w:val="none" w:sz="0" w:space="0" w:color="auto"/>
            <w:right w:val="none" w:sz="0" w:space="0" w:color="auto"/>
          </w:divBdr>
          <w:divsChild>
            <w:div w:id="542444590">
              <w:marLeft w:val="0"/>
              <w:marRight w:val="0"/>
              <w:marTop w:val="0"/>
              <w:marBottom w:val="0"/>
              <w:divBdr>
                <w:top w:val="none" w:sz="0" w:space="0" w:color="auto"/>
                <w:left w:val="none" w:sz="0" w:space="0" w:color="auto"/>
                <w:bottom w:val="none" w:sz="0" w:space="0" w:color="auto"/>
                <w:right w:val="none" w:sz="0" w:space="0" w:color="auto"/>
              </w:divBdr>
            </w:div>
            <w:div w:id="318656962">
              <w:marLeft w:val="0"/>
              <w:marRight w:val="0"/>
              <w:marTop w:val="0"/>
              <w:marBottom w:val="0"/>
              <w:divBdr>
                <w:top w:val="none" w:sz="0" w:space="0" w:color="auto"/>
                <w:left w:val="none" w:sz="0" w:space="0" w:color="auto"/>
                <w:bottom w:val="none" w:sz="0" w:space="0" w:color="auto"/>
                <w:right w:val="none" w:sz="0" w:space="0" w:color="auto"/>
              </w:divBdr>
            </w:div>
            <w:div w:id="1556742648">
              <w:marLeft w:val="0"/>
              <w:marRight w:val="0"/>
              <w:marTop w:val="0"/>
              <w:marBottom w:val="0"/>
              <w:divBdr>
                <w:top w:val="none" w:sz="0" w:space="0" w:color="auto"/>
                <w:left w:val="none" w:sz="0" w:space="0" w:color="auto"/>
                <w:bottom w:val="none" w:sz="0" w:space="0" w:color="auto"/>
                <w:right w:val="none" w:sz="0" w:space="0" w:color="auto"/>
              </w:divBdr>
            </w:div>
            <w:div w:id="534271340">
              <w:marLeft w:val="0"/>
              <w:marRight w:val="0"/>
              <w:marTop w:val="0"/>
              <w:marBottom w:val="0"/>
              <w:divBdr>
                <w:top w:val="none" w:sz="0" w:space="0" w:color="auto"/>
                <w:left w:val="none" w:sz="0" w:space="0" w:color="auto"/>
                <w:bottom w:val="none" w:sz="0" w:space="0" w:color="auto"/>
                <w:right w:val="none" w:sz="0" w:space="0" w:color="auto"/>
              </w:divBdr>
            </w:div>
            <w:div w:id="310258958">
              <w:marLeft w:val="0"/>
              <w:marRight w:val="0"/>
              <w:marTop w:val="0"/>
              <w:marBottom w:val="0"/>
              <w:divBdr>
                <w:top w:val="none" w:sz="0" w:space="0" w:color="auto"/>
                <w:left w:val="none" w:sz="0" w:space="0" w:color="auto"/>
                <w:bottom w:val="none" w:sz="0" w:space="0" w:color="auto"/>
                <w:right w:val="none" w:sz="0" w:space="0" w:color="auto"/>
              </w:divBdr>
            </w:div>
            <w:div w:id="1895921275">
              <w:marLeft w:val="0"/>
              <w:marRight w:val="0"/>
              <w:marTop w:val="0"/>
              <w:marBottom w:val="0"/>
              <w:divBdr>
                <w:top w:val="none" w:sz="0" w:space="0" w:color="auto"/>
                <w:left w:val="none" w:sz="0" w:space="0" w:color="auto"/>
                <w:bottom w:val="none" w:sz="0" w:space="0" w:color="auto"/>
                <w:right w:val="none" w:sz="0" w:space="0" w:color="auto"/>
              </w:divBdr>
            </w:div>
            <w:div w:id="10187545">
              <w:marLeft w:val="0"/>
              <w:marRight w:val="0"/>
              <w:marTop w:val="0"/>
              <w:marBottom w:val="0"/>
              <w:divBdr>
                <w:top w:val="none" w:sz="0" w:space="0" w:color="auto"/>
                <w:left w:val="none" w:sz="0" w:space="0" w:color="auto"/>
                <w:bottom w:val="none" w:sz="0" w:space="0" w:color="auto"/>
                <w:right w:val="none" w:sz="0" w:space="0" w:color="auto"/>
              </w:divBdr>
            </w:div>
            <w:div w:id="969289643">
              <w:marLeft w:val="0"/>
              <w:marRight w:val="0"/>
              <w:marTop w:val="0"/>
              <w:marBottom w:val="0"/>
              <w:divBdr>
                <w:top w:val="none" w:sz="0" w:space="0" w:color="auto"/>
                <w:left w:val="none" w:sz="0" w:space="0" w:color="auto"/>
                <w:bottom w:val="none" w:sz="0" w:space="0" w:color="auto"/>
                <w:right w:val="none" w:sz="0" w:space="0" w:color="auto"/>
              </w:divBdr>
            </w:div>
            <w:div w:id="1112746726">
              <w:marLeft w:val="0"/>
              <w:marRight w:val="0"/>
              <w:marTop w:val="0"/>
              <w:marBottom w:val="0"/>
              <w:divBdr>
                <w:top w:val="none" w:sz="0" w:space="0" w:color="auto"/>
                <w:left w:val="none" w:sz="0" w:space="0" w:color="auto"/>
                <w:bottom w:val="none" w:sz="0" w:space="0" w:color="auto"/>
                <w:right w:val="none" w:sz="0" w:space="0" w:color="auto"/>
              </w:divBdr>
            </w:div>
            <w:div w:id="1091589053">
              <w:marLeft w:val="0"/>
              <w:marRight w:val="0"/>
              <w:marTop w:val="0"/>
              <w:marBottom w:val="0"/>
              <w:divBdr>
                <w:top w:val="none" w:sz="0" w:space="0" w:color="auto"/>
                <w:left w:val="none" w:sz="0" w:space="0" w:color="auto"/>
                <w:bottom w:val="none" w:sz="0" w:space="0" w:color="auto"/>
                <w:right w:val="none" w:sz="0" w:space="0" w:color="auto"/>
              </w:divBdr>
            </w:div>
            <w:div w:id="162940736">
              <w:marLeft w:val="0"/>
              <w:marRight w:val="0"/>
              <w:marTop w:val="0"/>
              <w:marBottom w:val="0"/>
              <w:divBdr>
                <w:top w:val="none" w:sz="0" w:space="0" w:color="auto"/>
                <w:left w:val="none" w:sz="0" w:space="0" w:color="auto"/>
                <w:bottom w:val="none" w:sz="0" w:space="0" w:color="auto"/>
                <w:right w:val="none" w:sz="0" w:space="0" w:color="auto"/>
              </w:divBdr>
            </w:div>
            <w:div w:id="357781605">
              <w:marLeft w:val="0"/>
              <w:marRight w:val="0"/>
              <w:marTop w:val="0"/>
              <w:marBottom w:val="0"/>
              <w:divBdr>
                <w:top w:val="none" w:sz="0" w:space="0" w:color="auto"/>
                <w:left w:val="none" w:sz="0" w:space="0" w:color="auto"/>
                <w:bottom w:val="none" w:sz="0" w:space="0" w:color="auto"/>
                <w:right w:val="none" w:sz="0" w:space="0" w:color="auto"/>
              </w:divBdr>
            </w:div>
            <w:div w:id="767388983">
              <w:marLeft w:val="0"/>
              <w:marRight w:val="0"/>
              <w:marTop w:val="0"/>
              <w:marBottom w:val="0"/>
              <w:divBdr>
                <w:top w:val="none" w:sz="0" w:space="0" w:color="auto"/>
                <w:left w:val="none" w:sz="0" w:space="0" w:color="auto"/>
                <w:bottom w:val="none" w:sz="0" w:space="0" w:color="auto"/>
                <w:right w:val="none" w:sz="0" w:space="0" w:color="auto"/>
              </w:divBdr>
            </w:div>
            <w:div w:id="1932395057">
              <w:marLeft w:val="0"/>
              <w:marRight w:val="0"/>
              <w:marTop w:val="0"/>
              <w:marBottom w:val="0"/>
              <w:divBdr>
                <w:top w:val="none" w:sz="0" w:space="0" w:color="auto"/>
                <w:left w:val="none" w:sz="0" w:space="0" w:color="auto"/>
                <w:bottom w:val="none" w:sz="0" w:space="0" w:color="auto"/>
                <w:right w:val="none" w:sz="0" w:space="0" w:color="auto"/>
              </w:divBdr>
            </w:div>
            <w:div w:id="1464881503">
              <w:marLeft w:val="0"/>
              <w:marRight w:val="0"/>
              <w:marTop w:val="0"/>
              <w:marBottom w:val="0"/>
              <w:divBdr>
                <w:top w:val="none" w:sz="0" w:space="0" w:color="auto"/>
                <w:left w:val="none" w:sz="0" w:space="0" w:color="auto"/>
                <w:bottom w:val="none" w:sz="0" w:space="0" w:color="auto"/>
                <w:right w:val="none" w:sz="0" w:space="0" w:color="auto"/>
              </w:divBdr>
            </w:div>
            <w:div w:id="1650937140">
              <w:marLeft w:val="0"/>
              <w:marRight w:val="0"/>
              <w:marTop w:val="0"/>
              <w:marBottom w:val="0"/>
              <w:divBdr>
                <w:top w:val="none" w:sz="0" w:space="0" w:color="auto"/>
                <w:left w:val="none" w:sz="0" w:space="0" w:color="auto"/>
                <w:bottom w:val="none" w:sz="0" w:space="0" w:color="auto"/>
                <w:right w:val="none" w:sz="0" w:space="0" w:color="auto"/>
              </w:divBdr>
            </w:div>
            <w:div w:id="17305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7136">
      <w:bodyDiv w:val="1"/>
      <w:marLeft w:val="0"/>
      <w:marRight w:val="0"/>
      <w:marTop w:val="0"/>
      <w:marBottom w:val="0"/>
      <w:divBdr>
        <w:top w:val="none" w:sz="0" w:space="0" w:color="auto"/>
        <w:left w:val="none" w:sz="0" w:space="0" w:color="auto"/>
        <w:bottom w:val="none" w:sz="0" w:space="0" w:color="auto"/>
        <w:right w:val="none" w:sz="0" w:space="0" w:color="auto"/>
      </w:divBdr>
      <w:divsChild>
        <w:div w:id="1038895546">
          <w:marLeft w:val="0"/>
          <w:marRight w:val="0"/>
          <w:marTop w:val="450"/>
          <w:marBottom w:val="450"/>
          <w:divBdr>
            <w:top w:val="none" w:sz="0" w:space="0" w:color="auto"/>
            <w:left w:val="none" w:sz="0" w:space="0" w:color="auto"/>
            <w:bottom w:val="none" w:sz="0" w:space="0" w:color="auto"/>
            <w:right w:val="none" w:sz="0" w:space="0" w:color="auto"/>
          </w:divBdr>
        </w:div>
        <w:div w:id="331029595">
          <w:marLeft w:val="0"/>
          <w:marRight w:val="0"/>
          <w:marTop w:val="0"/>
          <w:marBottom w:val="0"/>
          <w:divBdr>
            <w:top w:val="none" w:sz="0" w:space="0" w:color="auto"/>
            <w:left w:val="none" w:sz="0" w:space="0" w:color="auto"/>
            <w:bottom w:val="none" w:sz="0" w:space="0" w:color="auto"/>
            <w:right w:val="none" w:sz="0" w:space="0" w:color="auto"/>
          </w:divBdr>
        </w:div>
      </w:divsChild>
    </w:div>
    <w:div w:id="20618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rplata.co.ua/?p=10670" TargetMode="External"/><Relationship Id="rId3" Type="http://schemas.openxmlformats.org/officeDocument/2006/relationships/styles" Target="styles.xml"/><Relationship Id="rId7" Type="http://schemas.openxmlformats.org/officeDocument/2006/relationships/hyperlink" Target="mailto:upravlinnya_bi@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rplata.co.ua/?p=1067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5C67C-D51E-4420-9302-A9C7F317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TotalTime>
  <Pages>1</Pages>
  <Words>20838</Words>
  <Characters>11879</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ВАСИЛЬОВИЧ</cp:lastModifiedBy>
  <cp:revision>39</cp:revision>
  <cp:lastPrinted>2024-02-08T09:00:00Z</cp:lastPrinted>
  <dcterms:created xsi:type="dcterms:W3CDTF">2021-05-25T10:24:00Z</dcterms:created>
  <dcterms:modified xsi:type="dcterms:W3CDTF">2025-01-03T06:57:00Z</dcterms:modified>
</cp:coreProperties>
</file>