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26" w:rsidRPr="00807244" w:rsidRDefault="00AF4926" w:rsidP="00807244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4</w:t>
      </w:r>
    </w:p>
    <w:p w:rsidR="00AF4926" w:rsidRPr="00807244" w:rsidRDefault="00AF4926" w:rsidP="00807244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виконкому</w:t>
      </w:r>
    </w:p>
    <w:p w:rsidR="00AF4926" w:rsidRPr="00807244" w:rsidRDefault="00AF4926" w:rsidP="00807244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07244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29.04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 №</w:t>
      </w:r>
      <w:r w:rsidR="00524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</w:t>
      </w:r>
    </w:p>
    <w:p w:rsidR="00AF4926" w:rsidRPr="00807244" w:rsidRDefault="00AF4926" w:rsidP="00807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7244" w:rsidRPr="00807244" w:rsidRDefault="00807244" w:rsidP="0080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>Методика оцінювання конкурсних пропозицій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Методика оцінювання конкурсних пропозицій (далі – Методика) розроблена з метою забезпечення єдиного, прозорого та чіткого механізму оцінювання пропозицій поданих на конкурс закупівлі об’єкта нежитлової нерухомості, для потреб про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Pr="00807244">
        <w:rPr>
          <w:rStyle w:val="4yxp"/>
          <w:rFonts w:ascii="Times New Roman" w:hAnsi="Times New Roman" w:cs="Times New Roman"/>
          <w:iCs/>
          <w:color w:val="1D2129"/>
          <w:sz w:val="28"/>
          <w:szCs w:val="28"/>
          <w:shd w:val="clear" w:color="auto" w:fill="FFFFFF"/>
          <w:lang w:val="uk-UA"/>
        </w:rPr>
        <w:t>«</w:t>
      </w:r>
      <w:r w:rsidRPr="00807244">
        <w:rPr>
          <w:rStyle w:val="4yxo"/>
          <w:rFonts w:ascii="Times New Roman" w:hAnsi="Times New Roman" w:cs="Times New Roman"/>
          <w:b/>
          <w:bCs/>
          <w:iCs/>
          <w:color w:val="1D2129"/>
          <w:sz w:val="28"/>
          <w:szCs w:val="28"/>
          <w:shd w:val="clear" w:color="auto" w:fill="FFFFFF"/>
          <w:lang w:val="uk-UA"/>
        </w:rPr>
        <w:t>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субрегіону»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7244">
        <w:rPr>
          <w:rFonts w:ascii="Times New Roman" w:hAnsi="Times New Roman" w:cs="Times New Roman"/>
          <w:b/>
          <w:bCs/>
          <w:iCs/>
          <w:color w:val="1D2129"/>
          <w:sz w:val="28"/>
          <w:szCs w:val="28"/>
          <w:shd w:val="clear" w:color="auto" w:fill="FFFFFF"/>
          <w:lang w:val="uk-UA"/>
        </w:rPr>
        <w:t>який реалізується робочою командою КП «Дол</w:t>
      </w:r>
      <w:r w:rsidRPr="00807244">
        <w:rPr>
          <w:rStyle w:val="textexposedshow"/>
          <w:rFonts w:ascii="Times New Roman" w:hAnsi="Times New Roman" w:cs="Times New Roman"/>
          <w:b/>
          <w:bCs/>
          <w:iCs/>
          <w:color w:val="1D2129"/>
          <w:sz w:val="28"/>
          <w:szCs w:val="28"/>
          <w:shd w:val="clear" w:color="auto" w:fill="FFFFFF"/>
          <w:lang w:val="uk-UA"/>
        </w:rPr>
        <w:t>ина-Інвест» та Долинською міською радою за фінансової підтримки Європейського Союзу в межах Ініціативи "Мери за економічне зростання»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України та Порядку придбання в комунальну власність територіальної громади об’єкта нежитлової нерухомості, затвердженого Долинською міською радою. Рішення Долинської міської ради № 192 від 15.11.2019 р. (далі Порядок)</w:t>
      </w:r>
      <w:r w:rsidRPr="00807244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У цій Методиці нижченаведені терміни вживаються в таких значеннях: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робоча група </w:t>
      </w:r>
      <w:r w:rsidR="0097446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</w:t>
      </w:r>
      <w:r w:rsidR="00974463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конкурсних пропозицій - 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група представників зацікавлених сторін (міської ради, сільськогосподарських представників, про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ктної команди в кількості 10 осіб), які проводять оцінювання конкурсних пропозицій (створена у відповідності до Розпорядження міського голови від 18.11.2019 р.);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та секретар робочої групи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– члени робочої групи, призначені розпорядженням міського голови, які забезпечують поточну діяльність робочої групи;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конкурсний пакет 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 конкурсної заявки, переліку всіх документів, передбачених Порядком та поданих у відповідності до оголошених вимог, у вказаному вигляді та в визначені терміни;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>оцінювання пропозицій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– це розгляд конкурсних пакетів членами робочої групи 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оцін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на предмет їх відповідності визначеним критеріям та оцінка у відповідності до розробленої шкали оцінювання;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>форма оцінювання пропозицій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- документи, в яких містяться бали і коментарі виставлені членами робочої групи по оцінці пропозицій згідно критеріїв оцінювання (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одатки 1,2, 3. до Методики);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протокол оцінювання пропозиції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– документ, в якому фіксується результати оцінювання та пропонується рішення 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 конкурсу;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технічні критерії оцінювання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– вимоги щодо характеристик конкурсного пакету, зазначені в Порядку проведення конкурсного відбору та Вимогах до об’єкта нерухомості ( Додаток 2 до Протоколу № 2 від 14. 02.2020 р ).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7244" w:rsidRPr="00807244" w:rsidRDefault="00807244" w:rsidP="00807244">
      <w:pPr>
        <w:pStyle w:val="a8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>Процедура оцінювання конкурсних пропозицій.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Конкурсний відбір пропозицій проводиться в три етапи.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Перший етап включає відбір пропозицій щодо відповідності технічним критеріям конкурсного відбору, які визначені у Порядку проведення конкурсного відбору про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ктів та Інструкціями для заявників, а саме: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подані у формі, що передбачена умовами конкурсу; 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- подані в обсязі, що передбачено умовами конкурсу;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- подані у строки, передбачені умовами конкурсу;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- складені українською мовою.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Зазначений етап розгляду про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ктів проводиться членами робочої групи 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оцін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пропозицій. Конкурсні пакети, які не містять хоча б одного документу з обов’язкового переліку, визначених Порядком проведення конкурсного відбору, або якщо в пакеті є інформація щодо наявності обтяження стосовно нерухомого майна, то такі пропозиції не допускаються до другого етапу конкурсу. Учасники, чиї заявки не допущені до наступних етапів розгляду повідомляються в письмовій формі в трьох-денний термін з моменту визначення.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Другий етап конкурсу включає оцінювання поданих пропозицій на предмет вартості робіт по доведенню пропонованих будівель до потреб про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кту.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Технічна документація на об’єкт передається представникам Управління житлово-комунального господарства Долинської міської ради для визначення кошторисної вартості, яка встановлюється та розраховується, виходячи з вартості розрахунків відповідно до чинного законодавства у сфері містобудування (ДСТУ Б Д.1.1-7:2013). Дані розрахунки необхідно здійснити для 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изначення вартості робіт потрібних для того, щоб дана будівля відповідала потребам про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кту з врахуванням системи управління безпечності харчових продуктів. Термін виконання даного етапу становить 10 календарних днів. Результатом даного етапу буде розроблений зведений кошторис поданий на розгляд робочої групи 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оцін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для проведення третього етапу оцінювання.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Третій етап конкурсу передбачає проведення оцінювання відповідності поданих пропозицій потребам проекту.</w:t>
      </w:r>
    </w:p>
    <w:p w:rsidR="00807244" w:rsidRPr="004A6A22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Кожен член робочої групи 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оцін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індивідуальну оцінку об’єкта (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одаток 2). Після завершення оцінювання кожним членом робочої групи, Головою робочої групи робиться зведена відомість результатів оцінювання (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одаток 3). На підставі зведеної оціночної відомості складається Протокол оцінювання пропозицій, який завіряється підписами голови та секретаря робочої групи.</w:t>
      </w:r>
    </w:p>
    <w:p w:rsidR="00807244" w:rsidRPr="004A6A22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Правила та критерії оцінювання.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розроблених Вимог щодо об’єкта нерухомості (Додаток 2 до Протоколу №2 від 14.02.2020 р ). Визначаються 3 основних критерії оцінки пропозиції: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- оцінка земельної ділянки та технічної інфраструктури;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оцінка конструктивних елементів будівлі;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фінансова оцінка вартості будівлі.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Кожен критерій в свою чергу, у відповідності до затверджених Вимог, поділяється на певну кількість </w:t>
      </w:r>
      <w:proofErr w:type="spellStart"/>
      <w:r w:rsidRPr="00807244">
        <w:rPr>
          <w:rFonts w:ascii="Times New Roman" w:hAnsi="Times New Roman" w:cs="Times New Roman"/>
          <w:sz w:val="28"/>
          <w:szCs w:val="28"/>
          <w:lang w:val="uk-UA"/>
        </w:rPr>
        <w:t>підкритеріїв</w:t>
      </w:r>
      <w:proofErr w:type="spellEnd"/>
      <w:r w:rsidRPr="008072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Оцінка земельної ділянки та технічної інфраструктури. 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Містить 15 </w:t>
      </w:r>
      <w:proofErr w:type="spellStart"/>
      <w:r w:rsidRPr="00807244">
        <w:rPr>
          <w:rFonts w:ascii="Times New Roman" w:hAnsi="Times New Roman" w:cs="Times New Roman"/>
          <w:sz w:val="28"/>
          <w:szCs w:val="28"/>
          <w:lang w:val="uk-UA"/>
        </w:rPr>
        <w:t>підкритеріїв</w:t>
      </w:r>
      <w:proofErr w:type="spellEnd"/>
      <w:r w:rsidRPr="00807244">
        <w:rPr>
          <w:rFonts w:ascii="Times New Roman" w:hAnsi="Times New Roman" w:cs="Times New Roman"/>
          <w:sz w:val="28"/>
          <w:szCs w:val="28"/>
          <w:lang w:val="uk-UA"/>
        </w:rPr>
        <w:t>, кожен з яких оцінюється по 2-х бальній системі: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lastRenderedPageBreak/>
        <w:t>1 бал - комерційна пропозиція не відповідає в повній мірі потребам про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кту по даному критерію оцінювання (взагалі не стосується даного критерію або інформація відсутня);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2 бали - комерційна пропозиція по будівлі відповідає потребам про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кту у повній мірі по даному критерію оцінювання (слабкі сторони даного критерію видимі більше, ніж сильні);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по кожному </w:t>
      </w:r>
      <w:proofErr w:type="spellStart"/>
      <w:r w:rsidRPr="00807244">
        <w:rPr>
          <w:rFonts w:ascii="Times New Roman" w:hAnsi="Times New Roman" w:cs="Times New Roman"/>
          <w:sz w:val="28"/>
          <w:szCs w:val="28"/>
          <w:lang w:val="uk-UA"/>
        </w:rPr>
        <w:t>підкритерію</w:t>
      </w:r>
      <w:proofErr w:type="spellEnd"/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членами робочої групи 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оцін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конкурсних пропозицій шляхом порівняння наступних документів конкурсного пакету (ситуативний план, фотофіксація земельної ділянки, схема технічної інфраструктури, схеми інженерних мереж) з вимогами про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кту (Додаток 2 до Протоколу №2 від 14 лютого 2020 р.)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кількість балів які можна отримати при оцінці даного критерію може становити 30 балів.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0724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2. Оцінка конструктивних елементів будівлі</w:t>
      </w:r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Даний критерій містить 15 </w:t>
      </w:r>
      <w:proofErr w:type="spellStart"/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підкритеріїв</w:t>
      </w:r>
      <w:proofErr w:type="spellEnd"/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кожен з яких оцінюється по 2-х бальній системі.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1 бал - комерційна пропозиція не відповідає в повній мірі потребам про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кту по даному критерію оцінювання (взагалі не стосується даного критерію або інформація відсутня);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2 бали - комерційна пропозиція по будівлі відповідає потребам про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кту в повній мірі по даному критерію оцінювання (слабкі сторони даного критерію видимі більше, ніж сильні);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Оцінювання по кожному </w:t>
      </w:r>
      <w:proofErr w:type="spellStart"/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підкритерію</w:t>
      </w:r>
      <w:proofErr w:type="spellEnd"/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здійснюється членами робочої групи </w:t>
      </w:r>
      <w:r w:rsidR="00974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оцін</w:t>
      </w:r>
      <w:r w:rsidR="00974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ки</w:t>
      </w:r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шляхом порівняння технічної документації на об’єкт поданої в конкурсному пакеті, розробленим вимогам до приміщення для розміщення виробництва з переробки продукції сільського господарства, про</w:t>
      </w:r>
      <w:r w:rsidR="00974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ктної оцінки технологічної частини цеху з переробки бджолиного меду та ягід.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80724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3. Фінансова оцінка вартості будівлі.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Даний критерій розраховується наступним чином, а саме:  </w:t>
      </w:r>
    </w:p>
    <w:p w:rsidR="00807244" w:rsidRPr="00807244" w:rsidRDefault="00807244" w:rsidP="00807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сума потенційних витрат , яка складається з суми двох показників: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 №1 - вартість будівлі, визначена незалежною експертною оцінкою;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№2 - кошторисна вартість ремонту (приведення будівлі та території до відповідності до потреб про</w:t>
      </w:r>
      <w:r w:rsidR="00974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Pr="008072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кту), визначається спеціалістами Управління житлово-комунального господарства Долинської міської ради .</w:t>
      </w:r>
    </w:p>
    <w:p w:rsidR="00807244" w:rsidRPr="00E534F1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34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Дана сума не повинна перевищувати суму кошторисних призначень про</w:t>
      </w:r>
      <w:r w:rsidR="009744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E534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кту. (188 605 Євро. – 5 545 000 грн)</w:t>
      </w:r>
      <w:r w:rsidR="004A6A22" w:rsidRPr="00E534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E534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Стартова кількість балів – 20; за кожних 100 000 гривень економії від цієї  суми нараховується додатковий бал</w:t>
      </w:r>
      <w:r w:rsidR="009744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07244" w:rsidRPr="00E534F1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534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ПРИКЛАД</w:t>
      </w:r>
      <w:r w:rsidRPr="00E534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9744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534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(потреба в коштах в сумі 5 545 000 гривень 20 балів , потреба в коштах 5 445 000 гривень – 21 бал, потреба в коштах 5345 000 грн. – 22 бали в т.д.), заокруглення проводиться по математичних правилах.</w:t>
      </w:r>
    </w:p>
    <w:p w:rsidR="00807244" w:rsidRPr="00E534F1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F1"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балів по даному критерію може становити 40 балів.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балів по загальній оцінці може становити 100 балів.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комерційних пропозицій відбувається наступним чином. Кожен член робочої групи отримує доступ до необхідних документів конкурсного пакету та проводить оцінку шляхом виставлення балів по кожному </w:t>
      </w:r>
      <w:proofErr w:type="spellStart"/>
      <w:r w:rsidRPr="00807244">
        <w:rPr>
          <w:rFonts w:ascii="Times New Roman" w:hAnsi="Times New Roman" w:cs="Times New Roman"/>
          <w:sz w:val="28"/>
          <w:szCs w:val="28"/>
          <w:lang w:val="uk-UA"/>
        </w:rPr>
        <w:t>підкритерію</w:t>
      </w:r>
      <w:proofErr w:type="spellEnd"/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та заповненню індивідуальної оціночної відомості (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одаток 2 до Методики оцінювання пропозицій). Кожен член робочої групи 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оцін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пропозицій для об’єктивного та неупередженого оцінювання поданих 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пропозицій повинен надати свої коментарі та рекомендації щодо присуджених балів за кожним критерієм, </w:t>
      </w:r>
      <w:proofErr w:type="spellStart"/>
      <w:r w:rsidRPr="00807244">
        <w:rPr>
          <w:rFonts w:ascii="Times New Roman" w:hAnsi="Times New Roman" w:cs="Times New Roman"/>
          <w:sz w:val="28"/>
          <w:szCs w:val="28"/>
          <w:lang w:val="uk-UA"/>
        </w:rPr>
        <w:t>підкритерієм</w:t>
      </w:r>
      <w:proofErr w:type="spellEnd"/>
      <w:r w:rsidRPr="00807244">
        <w:rPr>
          <w:rFonts w:ascii="Times New Roman" w:hAnsi="Times New Roman" w:cs="Times New Roman"/>
          <w:sz w:val="28"/>
          <w:szCs w:val="28"/>
          <w:lang w:val="uk-UA"/>
        </w:rPr>
        <w:t>. Правила надання коментарів та рекомендацій викладені у розділі 3 даної Методики.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На підставі заповнених індивідуальних оціночних відомостей отриманих від усіх учасників оцінювання секретар робочої групи</w:t>
      </w: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заповнює зведену оціночну відомість, де визначає середню кількість балів по оцінці кожної комерційної пропозиції шляхом сумування загальної кількості балів та діленням їх на кількість членів робочої групи, які брали участь в оцінюванні (</w:t>
      </w:r>
      <w:r w:rsidR="0097446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одаток 3 до Методики ). Зведену оціночну відомість підписує голова та секретар робочої групи.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зведеної оцінювальної відомості формується Протокол оцінювання із загальними коментарями щодо кожного критерію. Сформований Протокол оцінювання секретар ради роздруковує і він підписується усіма членами робочої групи. Даний Протокол є головною підставою для прийняття рішення щодо придбання будівлі.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>. Формулювання коментарів та рекомендацій.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Коментарі та рекомендації щодо оцінювання поданої пропозиції, які надаються членами робочої групи, повинні бути аргументованими, чіткими та об’єктивними. Коментарі мають містити пояснення щодо присуджених балів відповідно до кожного з критеріїв та </w:t>
      </w:r>
      <w:proofErr w:type="spellStart"/>
      <w:r w:rsidRPr="00807244">
        <w:rPr>
          <w:rFonts w:ascii="Times New Roman" w:hAnsi="Times New Roman" w:cs="Times New Roman"/>
          <w:sz w:val="28"/>
          <w:szCs w:val="28"/>
          <w:lang w:val="uk-UA"/>
        </w:rPr>
        <w:t>підкритеріїв</w:t>
      </w:r>
      <w:proofErr w:type="spellEnd"/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оцінювання. Присуджуючи бали та надаючи свої коментарі, члени робочої групи повинні усвідомлювати, що дану інформацію буде взято за основу для прийняття рішення щодо укладання угоди про купівлю об’єкту.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Член робочої групи має сфокусувати свої коментарі на моментах, що позитивно чи негативно характеризують </w:t>
      </w:r>
      <w:proofErr w:type="spellStart"/>
      <w:r w:rsidRPr="00807244">
        <w:rPr>
          <w:rFonts w:ascii="Times New Roman" w:hAnsi="Times New Roman" w:cs="Times New Roman"/>
          <w:sz w:val="28"/>
          <w:szCs w:val="28"/>
          <w:lang w:val="uk-UA"/>
        </w:rPr>
        <w:t>підкритерії</w:t>
      </w:r>
      <w:proofErr w:type="spellEnd"/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Коментарі мають відповідати присудженим балам. Це означає, що вищий бал не може бути обґрунтований критичними чи негативними коментарями, а нижчий бал не може бути обґрунтований позитивними коментарями. У випадку невідповідності присуджених балів наданим коментарям, секретар має право повернути таку оцінювальну форму на доопрацювання члену робочої групи, який надав таку форму.</w:t>
      </w:r>
    </w:p>
    <w:p w:rsidR="00807244" w:rsidRPr="00807244" w:rsidRDefault="00807244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Коментарі мають бути надані в конструктивному стилі, та базуватися на фактах, інформації, що міститься в конкурсному пакеті, та інших аналітичних, правових документах.</w:t>
      </w:r>
    </w:p>
    <w:p w:rsidR="00AF4926" w:rsidRPr="00807244" w:rsidRDefault="00AF4926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926" w:rsidRPr="00807244" w:rsidRDefault="00AF4926" w:rsidP="00807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926" w:rsidRPr="00807244" w:rsidRDefault="00AF4926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Pr="00807244" w:rsidRDefault="007E7829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Pr="00807244" w:rsidRDefault="007E7829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Pr="00807244" w:rsidRDefault="007E7829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Pr="00807244" w:rsidRDefault="00974463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Володимир Смолій</w:t>
      </w:r>
    </w:p>
    <w:p w:rsidR="007E7829" w:rsidRPr="00807244" w:rsidRDefault="007E7829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Default="007E7829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6A22" w:rsidRDefault="004A6A22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4463" w:rsidRDefault="00974463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4463" w:rsidRPr="00807244" w:rsidRDefault="00974463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Pr="00807244" w:rsidRDefault="007E7829" w:rsidP="00807244">
      <w:pPr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1 </w:t>
      </w:r>
    </w:p>
    <w:p w:rsidR="007E7829" w:rsidRPr="00807244" w:rsidRDefault="007E7829" w:rsidP="00807244">
      <w:pPr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до Методики оцінювання</w:t>
      </w:r>
    </w:p>
    <w:p w:rsidR="007E7829" w:rsidRPr="00807244" w:rsidRDefault="004B2598" w:rsidP="00807244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конкурсних пропозицій щодо придбання в комунальну власність територіальної громади об’єкта нежитлової нерухомості</w:t>
      </w:r>
    </w:p>
    <w:p w:rsidR="004B2598" w:rsidRPr="00807244" w:rsidRDefault="004B2598" w:rsidP="00807244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Pr="00807244" w:rsidRDefault="004B2598" w:rsidP="00807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98" w:rsidRPr="00807244" w:rsidRDefault="004B2598" w:rsidP="00807244">
      <w:pPr>
        <w:shd w:val="clear" w:color="auto" w:fill="FFFFFF"/>
        <w:spacing w:after="0" w:line="240" w:lineRule="auto"/>
        <w:ind w:left="11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Індивідуальна ОЦІНОЧНА ВІДОМІСТЬ</w:t>
      </w:r>
    </w:p>
    <w:p w:rsidR="004B2598" w:rsidRPr="00807244" w:rsidRDefault="004B2598" w:rsidP="00807244">
      <w:pPr>
        <w:shd w:val="clear" w:color="auto" w:fill="FFFFFF"/>
        <w:spacing w:after="0" w:line="240" w:lineRule="auto"/>
        <w:ind w:left="11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конкурсна пропозиція №_______</w:t>
      </w:r>
    </w:p>
    <w:p w:rsidR="004B2598" w:rsidRPr="00807244" w:rsidRDefault="004B2598" w:rsidP="00807244">
      <w:pPr>
        <w:shd w:val="clear" w:color="auto" w:fill="FFFFFF"/>
        <w:spacing w:after="0" w:line="240" w:lineRule="auto"/>
        <w:ind w:left="11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учасник конкурсу _______________________________________________</w:t>
      </w:r>
    </w:p>
    <w:p w:rsidR="004B2598" w:rsidRPr="00807244" w:rsidRDefault="004B2598" w:rsidP="00807244">
      <w:pPr>
        <w:shd w:val="clear" w:color="auto" w:fill="FFFFFF"/>
        <w:spacing w:after="0" w:line="240" w:lineRule="auto"/>
        <w:ind w:left="11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адреса об’єкта___________________________________________________</w:t>
      </w:r>
    </w:p>
    <w:p w:rsidR="004B2598" w:rsidRPr="00807244" w:rsidRDefault="004B2598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Ind w:w="-57" w:type="dxa"/>
        <w:tblLook w:val="04A0" w:firstRow="1" w:lastRow="0" w:firstColumn="1" w:lastColumn="0" w:noHBand="0" w:noVBand="1"/>
      </w:tblPr>
      <w:tblGrid>
        <w:gridCol w:w="706"/>
        <w:gridCol w:w="5228"/>
        <w:gridCol w:w="851"/>
        <w:gridCol w:w="850"/>
        <w:gridCol w:w="2098"/>
      </w:tblGrid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Критерій оцінки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 1</w:t>
            </w:r>
          </w:p>
        </w:tc>
        <w:tc>
          <w:tcPr>
            <w:tcW w:w="850" w:type="dxa"/>
          </w:tcPr>
          <w:p w:rsidR="004B2598" w:rsidRPr="00807244" w:rsidRDefault="004B2598" w:rsidP="0080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 2</w:t>
            </w: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Коментарі до оцінювання</w:t>
            </w: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1.0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Земельна ділянка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1.1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Географічне розміщення земельної ділянки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1.2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Цільове призначення земельної ділянки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1.3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Обмеження ділянки охоронними та санітарними нормами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1.4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Розмір земельної ділянки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1.5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Відгородженість земельної ділянки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1.6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Наявність під’їзної дорого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1.7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Наявність твердого дорожнього покриття 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1.8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Логістичне розташування земельної ділянки до доріг та транспорту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1.9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Наявність точки підключення водопостачання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1.10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Потужність джерела водопостачання ( в добу)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1.11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Можливість підключення 2-х віток водовідведення промислової та побутової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1.12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Пропускна система водовідведення  ( в зміну)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1.13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Наявність точки підключення до джерела електропостачання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1.14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Потужність джерела електропостачання 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1.15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Наявність точки підключення газопостачання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2.0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Оцінка конструктивних елементів будівлі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2.1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Загальна площа будівлі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lastRenderedPageBreak/>
              <w:t>2.2.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Висота приміщень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2.3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Розміщення об’єкту на бетонному фундаменті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2.4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Зовнішні стіни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2.5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Підлогове покриття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2.6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Перекриття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2.7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Покрівля будівлі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2.8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Заповнення віконними блоками віконних отворів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2.9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Віконні блоки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2.10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Наявність дверних отворів з закритими дверними блоками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2.11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Стан дверних блоків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2.12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Енергозберігаючість</w:t>
            </w:r>
            <w:proofErr w:type="spellEnd"/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будівлі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2.13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Наявність достатнього приміщення для розміщення цеху по переробці меду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2.14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Наявність достатнього приміщення для розміщення цеху по переробці ягід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2.15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Наявність приміщення придатного для облаштування побутових кімнат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3.0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Фінансова оцінка вартості будівлі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3.1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Вартість незалежної оцінки даної будівлі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E7AC9" w:rsidRPr="00807244" w:rsidTr="004B2598">
        <w:tc>
          <w:tcPr>
            <w:tcW w:w="636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3.2</w:t>
            </w:r>
          </w:p>
        </w:tc>
        <w:tc>
          <w:tcPr>
            <w:tcW w:w="5228" w:type="dxa"/>
          </w:tcPr>
          <w:p w:rsidR="004B2598" w:rsidRPr="00807244" w:rsidRDefault="004B2598" w:rsidP="0080724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Кошторисна вартість ремонтних робіт на приведення її до відповідності для потреб проєкту</w:t>
            </w:r>
          </w:p>
        </w:tc>
        <w:tc>
          <w:tcPr>
            <w:tcW w:w="851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807244" w:rsidRDefault="004B2598" w:rsidP="00807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:rsidR="004B2598" w:rsidRPr="00807244" w:rsidRDefault="004B2598" w:rsidP="00807244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B2598" w:rsidRPr="00807244" w:rsidRDefault="004B2598" w:rsidP="00807244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B2598" w:rsidRPr="00807244" w:rsidRDefault="004B2598" w:rsidP="00807244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Бали, що виставляються за критеріями оцінки, мають такі значення:</w:t>
      </w:r>
    </w:p>
    <w:p w:rsidR="004B2598" w:rsidRPr="00807244" w:rsidRDefault="004B2598" w:rsidP="00807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1 бал - комерційна пропозиція не відповідає в повній мірі потребам проєкту за даним критерієм оцінювання (взагалі не стосується даного критерію або інформація відсутня)</w:t>
      </w:r>
    </w:p>
    <w:p w:rsidR="004B2598" w:rsidRPr="00807244" w:rsidRDefault="004B2598" w:rsidP="00807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2 бали - комерційна пропозиція будівлі відповідає потребам проєкту повною мірою за даними критеріями оцінювання (слабкі сторони даного критерію видимі більше, ніж сильні)</w:t>
      </w:r>
    </w:p>
    <w:p w:rsidR="004B2598" w:rsidRPr="00807244" w:rsidRDefault="004B2598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748" w:type="dxa"/>
        <w:tblLayout w:type="fixed"/>
        <w:tblLook w:val="04A0" w:firstRow="1" w:lastRow="0" w:firstColumn="1" w:lastColumn="0" w:noHBand="0" w:noVBand="1"/>
      </w:tblPr>
      <w:tblGrid>
        <w:gridCol w:w="2988"/>
        <w:gridCol w:w="360"/>
        <w:gridCol w:w="2289"/>
        <w:gridCol w:w="283"/>
        <w:gridCol w:w="2828"/>
      </w:tblGrid>
      <w:tr w:rsidR="001E7AC9" w:rsidRPr="00807244" w:rsidTr="001E7AC9">
        <w:tc>
          <w:tcPr>
            <w:tcW w:w="2988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складання:</w:t>
            </w:r>
          </w:p>
        </w:tc>
        <w:tc>
          <w:tcPr>
            <w:tcW w:w="360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  <w:gridSpan w:val="3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85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„___” ______________ 2020 року</w:t>
            </w:r>
          </w:p>
        </w:tc>
      </w:tr>
      <w:tr w:rsidR="001E7AC9" w:rsidRPr="00807244" w:rsidTr="001E7AC9">
        <w:tc>
          <w:tcPr>
            <w:tcW w:w="2988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9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8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7AC9" w:rsidRPr="00807244" w:rsidTr="001E7AC9">
        <w:tc>
          <w:tcPr>
            <w:tcW w:w="2988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  <w:tc>
          <w:tcPr>
            <w:tcW w:w="360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8" w:type="dxa"/>
            <w:tcBorders>
              <w:bottom w:val="single" w:sz="4" w:space="0" w:color="000000"/>
            </w:tcBorders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2598" w:rsidRPr="00807244" w:rsidTr="001E7AC9">
        <w:tc>
          <w:tcPr>
            <w:tcW w:w="2988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9" w:type="dxa"/>
            <w:tcBorders>
              <w:top w:val="single" w:sz="4" w:space="0" w:color="000000"/>
            </w:tcBorders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( підпис)</w:t>
            </w:r>
          </w:p>
        </w:tc>
        <w:tc>
          <w:tcPr>
            <w:tcW w:w="283" w:type="dxa"/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000000"/>
            </w:tcBorders>
            <w:shd w:val="clear" w:color="auto" w:fill="auto"/>
          </w:tcPr>
          <w:p w:rsidR="004B2598" w:rsidRPr="00807244" w:rsidRDefault="004B2598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(прізвище та ініціали)</w:t>
            </w:r>
          </w:p>
        </w:tc>
      </w:tr>
    </w:tbl>
    <w:p w:rsidR="004B2598" w:rsidRPr="00807244" w:rsidRDefault="004B2598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2598" w:rsidRPr="00807244" w:rsidRDefault="004B2598" w:rsidP="00807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Pr="00807244" w:rsidRDefault="004B2598" w:rsidP="00807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Pr="00807244" w:rsidRDefault="004B2598" w:rsidP="00807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C2E61" w:rsidRPr="00807244" w:rsidRDefault="005C2E61" w:rsidP="00807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p w:rsidR="005C2E61" w:rsidRPr="00807244" w:rsidRDefault="005C2E61" w:rsidP="00807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  <w:sectPr w:rsidR="005C2E61" w:rsidRPr="00807244" w:rsidSect="002F502E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</w:p>
    <w:p w:rsidR="004B2598" w:rsidRPr="00807244" w:rsidRDefault="004B2598" w:rsidP="00807244">
      <w:pPr>
        <w:spacing w:after="0" w:line="240" w:lineRule="auto"/>
        <w:ind w:left="9204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2 </w:t>
      </w:r>
    </w:p>
    <w:p w:rsidR="004B2598" w:rsidRPr="00807244" w:rsidRDefault="004B2598" w:rsidP="00807244">
      <w:pPr>
        <w:spacing w:after="0" w:line="240" w:lineRule="auto"/>
        <w:ind w:left="1006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до Методики оцінювання</w:t>
      </w:r>
    </w:p>
    <w:p w:rsidR="004B2598" w:rsidRPr="00807244" w:rsidRDefault="004B2598" w:rsidP="00807244">
      <w:pPr>
        <w:spacing w:after="0" w:line="240" w:lineRule="auto"/>
        <w:ind w:left="1006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конкурсних пропозицій щодо придбання в комунальну власність територіальної громади об’єкта нежитлової нерухомості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5"/>
        <w:gridCol w:w="6513"/>
      </w:tblGrid>
      <w:tr w:rsidR="001E7AC9" w:rsidRPr="00807244" w:rsidTr="001E7AC9">
        <w:tc>
          <w:tcPr>
            <w:tcW w:w="2805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85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6513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7AC9" w:rsidRPr="00807244" w:rsidTr="001E7AC9">
        <w:tc>
          <w:tcPr>
            <w:tcW w:w="2805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85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t>Відомості про конкурс:</w:t>
            </w:r>
          </w:p>
        </w:tc>
        <w:tc>
          <w:tcPr>
            <w:tcW w:w="6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2E61" w:rsidRPr="00807244" w:rsidTr="001E7AC9">
        <w:tc>
          <w:tcPr>
            <w:tcW w:w="2805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85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6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C2E61" w:rsidRPr="00807244" w:rsidRDefault="005C2E61" w:rsidP="0080724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C2E61" w:rsidRPr="00807244" w:rsidRDefault="005C2E61" w:rsidP="00807244">
      <w:pPr>
        <w:shd w:val="clear" w:color="auto" w:fill="FFFFFF"/>
        <w:spacing w:after="0" w:line="240" w:lineRule="auto"/>
        <w:ind w:left="11"/>
        <w:jc w:val="center"/>
        <w:outlineLvl w:val="0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ЗВЕДЕНА ОЦІНОЧНА ВІДОМІСТЬ</w:t>
      </w:r>
    </w:p>
    <w:tbl>
      <w:tblPr>
        <w:tblW w:w="15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137"/>
        <w:gridCol w:w="1395"/>
        <w:gridCol w:w="493"/>
        <w:gridCol w:w="493"/>
        <w:gridCol w:w="493"/>
        <w:gridCol w:w="493"/>
        <w:gridCol w:w="493"/>
        <w:gridCol w:w="494"/>
        <w:gridCol w:w="493"/>
        <w:gridCol w:w="493"/>
        <w:gridCol w:w="493"/>
        <w:gridCol w:w="493"/>
        <w:gridCol w:w="493"/>
        <w:gridCol w:w="494"/>
        <w:gridCol w:w="1071"/>
        <w:gridCol w:w="2600"/>
      </w:tblGrid>
      <w:tr w:rsidR="001E7AC9" w:rsidRPr="00807244" w:rsidTr="001E7AC9">
        <w:trPr>
          <w:jc w:val="center"/>
        </w:trPr>
        <w:tc>
          <w:tcPr>
            <w:tcW w:w="1176" w:type="dxa"/>
            <w:vMerge w:val="restart"/>
            <w:shd w:val="clear" w:color="auto" w:fill="D9D9D9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t>Реєстр. № конкурсної пропозиції</w:t>
            </w:r>
          </w:p>
        </w:tc>
        <w:tc>
          <w:tcPr>
            <w:tcW w:w="3137" w:type="dxa"/>
            <w:vMerge w:val="restart"/>
            <w:shd w:val="clear" w:color="auto" w:fill="D9D9D9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t>Учасник конкурсу</w:t>
            </w:r>
            <w:r w:rsidRPr="00807244">
              <w:rPr>
                <w:rStyle w:val="ac"/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footnoteReference w:id="1"/>
            </w:r>
          </w:p>
        </w:tc>
        <w:tc>
          <w:tcPr>
            <w:tcW w:w="1395" w:type="dxa"/>
            <w:vMerge w:val="restart"/>
            <w:shd w:val="clear" w:color="auto" w:fill="D9D9D9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t>Вартість будівлі ,грн</w:t>
            </w:r>
          </w:p>
        </w:tc>
        <w:tc>
          <w:tcPr>
            <w:tcW w:w="5918" w:type="dxa"/>
            <w:gridSpan w:val="12"/>
            <w:tcBorders>
              <w:bottom w:val="single" w:sz="4" w:space="0" w:color="000000"/>
            </w:tcBorders>
            <w:shd w:val="clear" w:color="auto" w:fill="D9D9D9"/>
          </w:tcPr>
          <w:p w:rsidR="005C2E61" w:rsidRPr="00807244" w:rsidRDefault="005C2E61" w:rsidP="0080724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робочої групи</w:t>
            </w:r>
          </w:p>
        </w:tc>
        <w:tc>
          <w:tcPr>
            <w:tcW w:w="1071" w:type="dxa"/>
            <w:vMerge w:val="restart"/>
            <w:shd w:val="clear" w:color="auto" w:fill="D9D9D9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t>Середня   кількість балів</w:t>
            </w:r>
          </w:p>
        </w:tc>
        <w:tc>
          <w:tcPr>
            <w:tcW w:w="2600" w:type="dxa"/>
            <w:vMerge w:val="restart"/>
            <w:shd w:val="clear" w:color="auto" w:fill="D9D9D9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t>Примітки</w:t>
            </w:r>
            <w:r w:rsidRPr="00807244">
              <w:rPr>
                <w:rStyle w:val="ac"/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uk-UA"/>
              </w:rPr>
              <w:footnoteReference w:id="2"/>
            </w:r>
          </w:p>
        </w:tc>
      </w:tr>
      <w:tr w:rsidR="001E7AC9" w:rsidRPr="00807244" w:rsidTr="005C2E61">
        <w:trPr>
          <w:cantSplit/>
          <w:trHeight w:val="611"/>
          <w:jc w:val="center"/>
        </w:trPr>
        <w:tc>
          <w:tcPr>
            <w:tcW w:w="1176" w:type="dxa"/>
            <w:vMerge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137" w:type="dxa"/>
            <w:vMerge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vMerge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  <w:shd w:val="clear" w:color="auto" w:fill="D9D9D9"/>
            <w:textDirection w:val="btL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vMerge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2600" w:type="dxa"/>
            <w:vMerge/>
            <w:shd w:val="clear" w:color="auto" w:fill="D9D9D9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1E7AC9" w:rsidRPr="00807244" w:rsidTr="001E7AC9">
        <w:trPr>
          <w:cantSplit/>
          <w:trHeight w:val="199"/>
          <w:jc w:val="center"/>
        </w:trPr>
        <w:tc>
          <w:tcPr>
            <w:tcW w:w="1176" w:type="dxa"/>
            <w:vMerge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137" w:type="dxa"/>
            <w:vMerge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vMerge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  <w:gridSpan w:val="12"/>
            <w:shd w:val="clear" w:color="auto" w:fill="D9D9D9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Суми балів, виставлених членами конкурсної комісії</w:t>
            </w:r>
          </w:p>
        </w:tc>
        <w:tc>
          <w:tcPr>
            <w:tcW w:w="1071" w:type="dxa"/>
            <w:vMerge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2600" w:type="dxa"/>
            <w:vMerge/>
            <w:shd w:val="clear" w:color="auto" w:fill="D9D9D9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1E7AC9" w:rsidRPr="00807244" w:rsidTr="001E7AC9">
        <w:trPr>
          <w:trHeight w:val="70"/>
          <w:jc w:val="center"/>
        </w:trPr>
        <w:tc>
          <w:tcPr>
            <w:tcW w:w="1176" w:type="dxa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137" w:type="dxa"/>
            <w:tcBorders>
              <w:bottom w:val="single" w:sz="4" w:space="0" w:color="000000"/>
            </w:tcBorders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  <w:tcBorders>
              <w:bottom w:val="single" w:sz="4" w:space="0" w:color="000000"/>
            </w:tcBorders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1E7AC9" w:rsidRPr="00807244" w:rsidTr="001E7AC9">
        <w:trPr>
          <w:jc w:val="center"/>
        </w:trPr>
        <w:tc>
          <w:tcPr>
            <w:tcW w:w="1176" w:type="dxa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137" w:type="dxa"/>
            <w:shd w:val="clear" w:color="auto" w:fill="D9D9D9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shd w:val="clear" w:color="auto" w:fill="D9D9D9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2600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1E7AC9" w:rsidRPr="00807244" w:rsidTr="001E7AC9">
        <w:trPr>
          <w:jc w:val="center"/>
        </w:trPr>
        <w:tc>
          <w:tcPr>
            <w:tcW w:w="1176" w:type="dxa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3137" w:type="dxa"/>
            <w:shd w:val="clear" w:color="auto" w:fill="D9D9D9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shd w:val="clear" w:color="auto" w:fill="D9D9D9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2600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1E7AC9" w:rsidRPr="00807244" w:rsidTr="001E7AC9">
        <w:trPr>
          <w:jc w:val="center"/>
        </w:trPr>
        <w:tc>
          <w:tcPr>
            <w:tcW w:w="1176" w:type="dxa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7" w:type="dxa"/>
            <w:shd w:val="clear" w:color="auto" w:fill="D9D9D9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shd w:val="clear" w:color="auto" w:fill="D9D9D9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2600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</w:tbl>
    <w:p w:rsidR="005C2E61" w:rsidRPr="004A6A22" w:rsidRDefault="005C2E61" w:rsidP="0080724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856" w:type="dxa"/>
        <w:tblLayout w:type="fixed"/>
        <w:tblLook w:val="04A0" w:firstRow="1" w:lastRow="0" w:firstColumn="1" w:lastColumn="0" w:noHBand="0" w:noVBand="1"/>
      </w:tblPr>
      <w:tblGrid>
        <w:gridCol w:w="3348"/>
        <w:gridCol w:w="548"/>
        <w:gridCol w:w="1874"/>
        <w:gridCol w:w="1366"/>
        <w:gridCol w:w="3720"/>
      </w:tblGrid>
      <w:tr w:rsidR="001E7AC9" w:rsidRPr="00807244" w:rsidTr="001E7AC9">
        <w:tc>
          <w:tcPr>
            <w:tcW w:w="3348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складання:</w:t>
            </w:r>
          </w:p>
        </w:tc>
        <w:tc>
          <w:tcPr>
            <w:tcW w:w="548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60" w:type="dxa"/>
            <w:gridSpan w:val="3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85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 ______________ 2020 року</w:t>
            </w:r>
          </w:p>
        </w:tc>
      </w:tr>
      <w:tr w:rsidR="001E7AC9" w:rsidRPr="00807244" w:rsidTr="001E7AC9">
        <w:tc>
          <w:tcPr>
            <w:tcW w:w="3348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  <w:tc>
          <w:tcPr>
            <w:tcW w:w="548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6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7AC9" w:rsidRPr="00807244" w:rsidTr="001E7AC9">
        <w:tc>
          <w:tcPr>
            <w:tcW w:w="3348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(головуючий на засіданні)</w:t>
            </w:r>
          </w:p>
        </w:tc>
        <w:tc>
          <w:tcPr>
            <w:tcW w:w="548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1366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</w:tcBorders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072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(прізвище та ініціали)</w:t>
            </w:r>
          </w:p>
        </w:tc>
      </w:tr>
      <w:tr w:rsidR="005C2E61" w:rsidRPr="00807244" w:rsidTr="001E7AC9">
        <w:tc>
          <w:tcPr>
            <w:tcW w:w="3348" w:type="dxa"/>
            <w:shd w:val="clear" w:color="auto" w:fill="auto"/>
          </w:tcPr>
          <w:p w:rsidR="005C2E61" w:rsidRPr="00807244" w:rsidRDefault="004A6A22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C2E61" w:rsidRPr="00807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екретар робочої групи</w:t>
            </w:r>
          </w:p>
        </w:tc>
        <w:tc>
          <w:tcPr>
            <w:tcW w:w="548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6" w:type="dxa"/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807244" w:rsidRDefault="005C2E61" w:rsidP="0080724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C2E61" w:rsidRPr="00807244" w:rsidRDefault="005C2E61" w:rsidP="003C28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sectPr w:rsidR="005C2E61" w:rsidRPr="00807244" w:rsidSect="005C2E61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B2" w:rsidRDefault="009846B2" w:rsidP="005C2E61">
      <w:pPr>
        <w:spacing w:after="0" w:line="240" w:lineRule="auto"/>
      </w:pPr>
      <w:r>
        <w:separator/>
      </w:r>
    </w:p>
  </w:endnote>
  <w:endnote w:type="continuationSeparator" w:id="0">
    <w:p w:rsidR="009846B2" w:rsidRDefault="009846B2" w:rsidP="005C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B2" w:rsidRDefault="009846B2" w:rsidP="005C2E61">
      <w:pPr>
        <w:spacing w:after="0" w:line="240" w:lineRule="auto"/>
      </w:pPr>
      <w:r>
        <w:separator/>
      </w:r>
    </w:p>
  </w:footnote>
  <w:footnote w:type="continuationSeparator" w:id="0">
    <w:p w:rsidR="009846B2" w:rsidRDefault="009846B2" w:rsidP="005C2E61">
      <w:pPr>
        <w:spacing w:after="0" w:line="240" w:lineRule="auto"/>
      </w:pPr>
      <w:r>
        <w:continuationSeparator/>
      </w:r>
    </w:p>
  </w:footnote>
  <w:footnote w:id="1">
    <w:p w:rsidR="00DC76CF" w:rsidRPr="0084166C" w:rsidRDefault="00DC76CF" w:rsidP="005C2E61">
      <w:pPr>
        <w:pStyle w:val="aa"/>
        <w:rPr>
          <w:spacing w:val="-2"/>
          <w:sz w:val="18"/>
          <w:szCs w:val="18"/>
        </w:rPr>
      </w:pPr>
      <w:r w:rsidRPr="0084166C">
        <w:rPr>
          <w:rStyle w:val="ac"/>
          <w:spacing w:val="-2"/>
          <w:sz w:val="18"/>
          <w:szCs w:val="18"/>
        </w:rPr>
        <w:footnoteRef/>
      </w:r>
      <w:r w:rsidRPr="0084166C">
        <w:rPr>
          <w:spacing w:val="-2"/>
          <w:sz w:val="18"/>
          <w:szCs w:val="18"/>
        </w:rPr>
        <w:t xml:space="preserve"> </w:t>
      </w:r>
      <w:r w:rsidRPr="0084166C">
        <w:rPr>
          <w:color w:val="000000"/>
          <w:spacing w:val="-2"/>
          <w:sz w:val="18"/>
          <w:szCs w:val="18"/>
        </w:rPr>
        <w:t>Найменування юридичної особи або прізвище, ім’я, по батькові фізичної особи</w:t>
      </w:r>
      <w:r>
        <w:rPr>
          <w:color w:val="000000"/>
          <w:spacing w:val="-2"/>
          <w:sz w:val="18"/>
          <w:szCs w:val="18"/>
        </w:rPr>
        <w:t xml:space="preserve"> – </w:t>
      </w:r>
      <w:r w:rsidRPr="0084166C">
        <w:rPr>
          <w:color w:val="000000"/>
          <w:spacing w:val="-2"/>
          <w:sz w:val="18"/>
          <w:szCs w:val="18"/>
        </w:rPr>
        <w:t>підприємця</w:t>
      </w:r>
      <w:r>
        <w:rPr>
          <w:color w:val="000000"/>
          <w:spacing w:val="-2"/>
          <w:sz w:val="18"/>
          <w:szCs w:val="18"/>
        </w:rPr>
        <w:t>.</w:t>
      </w:r>
    </w:p>
  </w:footnote>
  <w:footnote w:id="2">
    <w:p w:rsidR="00DC76CF" w:rsidRDefault="00DC76CF" w:rsidP="005C2E61">
      <w:pPr>
        <w:pStyle w:val="aa"/>
        <w:rPr>
          <w:sz w:val="18"/>
          <w:szCs w:val="18"/>
        </w:rPr>
      </w:pPr>
      <w:r w:rsidRPr="0084166C">
        <w:rPr>
          <w:rStyle w:val="ac"/>
          <w:sz w:val="18"/>
          <w:szCs w:val="18"/>
        </w:rPr>
        <w:footnoteRef/>
      </w:r>
      <w:r w:rsidRPr="0084166C">
        <w:rPr>
          <w:sz w:val="18"/>
          <w:szCs w:val="18"/>
        </w:rPr>
        <w:t xml:space="preserve"> Відмітки про визнання</w:t>
      </w:r>
      <w:r>
        <w:rPr>
          <w:sz w:val="18"/>
          <w:szCs w:val="18"/>
        </w:rPr>
        <w:t xml:space="preserve"> учасника переможцем конкурсу (у</w:t>
      </w:r>
      <w:r w:rsidRPr="0084166C">
        <w:rPr>
          <w:sz w:val="18"/>
          <w:szCs w:val="18"/>
        </w:rPr>
        <w:t xml:space="preserve"> т</w:t>
      </w:r>
      <w:r>
        <w:rPr>
          <w:sz w:val="18"/>
          <w:szCs w:val="18"/>
        </w:rPr>
        <w:t>ому</w:t>
      </w:r>
      <w:r w:rsidRPr="0084166C">
        <w:rPr>
          <w:sz w:val="18"/>
          <w:szCs w:val="18"/>
        </w:rPr>
        <w:t xml:space="preserve"> ч</w:t>
      </w:r>
      <w:r>
        <w:rPr>
          <w:sz w:val="18"/>
          <w:szCs w:val="18"/>
        </w:rPr>
        <w:t>ислі</w:t>
      </w:r>
      <w:r w:rsidRPr="0084166C">
        <w:rPr>
          <w:sz w:val="18"/>
          <w:szCs w:val="18"/>
        </w:rPr>
        <w:t xml:space="preserve"> шляхом голосування), а також невідповідність конкурсної пропозиції умовам конкурсу тощо.</w:t>
      </w:r>
    </w:p>
    <w:p w:rsidR="00DC76CF" w:rsidRDefault="00DC76CF" w:rsidP="005C2E61">
      <w:pPr>
        <w:pStyle w:val="aa"/>
        <w:rPr>
          <w:sz w:val="18"/>
          <w:szCs w:val="18"/>
        </w:rPr>
      </w:pPr>
    </w:p>
    <w:p w:rsidR="00DC76CF" w:rsidRPr="0084166C" w:rsidRDefault="00DC76CF" w:rsidP="005C2E61">
      <w:pPr>
        <w:pStyle w:val="aa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0B9"/>
    <w:multiLevelType w:val="hybridMultilevel"/>
    <w:tmpl w:val="C64263D2"/>
    <w:lvl w:ilvl="0" w:tplc="6584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14AD"/>
    <w:multiLevelType w:val="multilevel"/>
    <w:tmpl w:val="E5E2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9406D"/>
    <w:multiLevelType w:val="hybridMultilevel"/>
    <w:tmpl w:val="62DE355C"/>
    <w:lvl w:ilvl="0" w:tplc="72524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F786C"/>
    <w:multiLevelType w:val="hybridMultilevel"/>
    <w:tmpl w:val="C018FA08"/>
    <w:lvl w:ilvl="0" w:tplc="1EBEC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FC1CDC"/>
    <w:multiLevelType w:val="hybridMultilevel"/>
    <w:tmpl w:val="CB66B3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F0D6E"/>
    <w:multiLevelType w:val="hybridMultilevel"/>
    <w:tmpl w:val="5644D754"/>
    <w:lvl w:ilvl="0" w:tplc="C1EE4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3"/>
    <w:rsid w:val="00004379"/>
    <w:rsid w:val="0003448B"/>
    <w:rsid w:val="00042329"/>
    <w:rsid w:val="000F6319"/>
    <w:rsid w:val="0015759E"/>
    <w:rsid w:val="001C4AB8"/>
    <w:rsid w:val="001E7AC9"/>
    <w:rsid w:val="00205D7C"/>
    <w:rsid w:val="00206BCA"/>
    <w:rsid w:val="00234BBE"/>
    <w:rsid w:val="00297A04"/>
    <w:rsid w:val="002C7633"/>
    <w:rsid w:val="002F502E"/>
    <w:rsid w:val="002F674A"/>
    <w:rsid w:val="00390A74"/>
    <w:rsid w:val="003C28C1"/>
    <w:rsid w:val="00411C47"/>
    <w:rsid w:val="00462CCE"/>
    <w:rsid w:val="004A6A22"/>
    <w:rsid w:val="004B2598"/>
    <w:rsid w:val="0052490F"/>
    <w:rsid w:val="00562959"/>
    <w:rsid w:val="00566906"/>
    <w:rsid w:val="00567D98"/>
    <w:rsid w:val="00592258"/>
    <w:rsid w:val="005B43F7"/>
    <w:rsid w:val="005C2E61"/>
    <w:rsid w:val="006464EA"/>
    <w:rsid w:val="00654C79"/>
    <w:rsid w:val="006F4014"/>
    <w:rsid w:val="00710352"/>
    <w:rsid w:val="00737425"/>
    <w:rsid w:val="007647D0"/>
    <w:rsid w:val="00765B49"/>
    <w:rsid w:val="007E7829"/>
    <w:rsid w:val="00807244"/>
    <w:rsid w:val="0089543A"/>
    <w:rsid w:val="008B4B79"/>
    <w:rsid w:val="00920F15"/>
    <w:rsid w:val="0093322F"/>
    <w:rsid w:val="009458D9"/>
    <w:rsid w:val="00967FA8"/>
    <w:rsid w:val="00974463"/>
    <w:rsid w:val="009846B2"/>
    <w:rsid w:val="00991E87"/>
    <w:rsid w:val="009A55DE"/>
    <w:rsid w:val="009A7DCF"/>
    <w:rsid w:val="009B0CFA"/>
    <w:rsid w:val="00A12126"/>
    <w:rsid w:val="00A96193"/>
    <w:rsid w:val="00AD30E6"/>
    <w:rsid w:val="00AE2ECF"/>
    <w:rsid w:val="00AF4926"/>
    <w:rsid w:val="00B15A13"/>
    <w:rsid w:val="00D00B8D"/>
    <w:rsid w:val="00D57CF3"/>
    <w:rsid w:val="00DB29D3"/>
    <w:rsid w:val="00DC685C"/>
    <w:rsid w:val="00DC76CF"/>
    <w:rsid w:val="00DE06AF"/>
    <w:rsid w:val="00E534F1"/>
    <w:rsid w:val="00F70A27"/>
    <w:rsid w:val="00FC3355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411C47"/>
  </w:style>
  <w:style w:type="character" w:customStyle="1" w:styleId="textexposedshow">
    <w:name w:val="text_exposed_show"/>
    <w:basedOn w:val="a0"/>
    <w:rsid w:val="00411C47"/>
  </w:style>
  <w:style w:type="paragraph" w:styleId="a3">
    <w:name w:val="Subtitle"/>
    <w:basedOn w:val="a"/>
    <w:link w:val="a4"/>
    <w:qFormat/>
    <w:rsid w:val="002F502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2F502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2F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2F5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206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0B8D"/>
    <w:pPr>
      <w:ind w:left="720"/>
      <w:contextualSpacing/>
    </w:pPr>
  </w:style>
  <w:style w:type="character" w:customStyle="1" w:styleId="4yxp">
    <w:name w:val="_4yxp"/>
    <w:basedOn w:val="a0"/>
    <w:rsid w:val="00AF4926"/>
  </w:style>
  <w:style w:type="table" w:styleId="a9">
    <w:name w:val="Table Grid"/>
    <w:basedOn w:val="a1"/>
    <w:uiPriority w:val="59"/>
    <w:rsid w:val="004B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Текст виноски Знак"/>
    <w:basedOn w:val="a0"/>
    <w:link w:val="aa"/>
    <w:uiPriority w:val="99"/>
    <w:rsid w:val="005C2E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footnote reference"/>
    <w:uiPriority w:val="99"/>
    <w:unhideWhenUsed/>
    <w:rsid w:val="005C2E6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E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E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411C47"/>
  </w:style>
  <w:style w:type="character" w:customStyle="1" w:styleId="textexposedshow">
    <w:name w:val="text_exposed_show"/>
    <w:basedOn w:val="a0"/>
    <w:rsid w:val="00411C47"/>
  </w:style>
  <w:style w:type="paragraph" w:styleId="a3">
    <w:name w:val="Subtitle"/>
    <w:basedOn w:val="a"/>
    <w:link w:val="a4"/>
    <w:qFormat/>
    <w:rsid w:val="002F502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2F502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2F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2F5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206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0B8D"/>
    <w:pPr>
      <w:ind w:left="720"/>
      <w:contextualSpacing/>
    </w:pPr>
  </w:style>
  <w:style w:type="character" w:customStyle="1" w:styleId="4yxp">
    <w:name w:val="_4yxp"/>
    <w:basedOn w:val="a0"/>
    <w:rsid w:val="00AF4926"/>
  </w:style>
  <w:style w:type="table" w:styleId="a9">
    <w:name w:val="Table Grid"/>
    <w:basedOn w:val="a1"/>
    <w:uiPriority w:val="59"/>
    <w:rsid w:val="004B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Текст виноски Знак"/>
    <w:basedOn w:val="a0"/>
    <w:link w:val="aa"/>
    <w:uiPriority w:val="99"/>
    <w:rsid w:val="005C2E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footnote reference"/>
    <w:uiPriority w:val="99"/>
    <w:unhideWhenUsed/>
    <w:rsid w:val="005C2E6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E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E7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8</Pages>
  <Words>8793</Words>
  <Characters>5013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ДМР</cp:lastModifiedBy>
  <cp:revision>47</cp:revision>
  <dcterms:created xsi:type="dcterms:W3CDTF">2020-03-20T09:38:00Z</dcterms:created>
  <dcterms:modified xsi:type="dcterms:W3CDTF">2020-04-30T12:10:00Z</dcterms:modified>
</cp:coreProperties>
</file>